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1B89F" w14:textId="0ACE20B7" w:rsidR="000B5698" w:rsidRDefault="000B5698" w:rsidP="000B5698">
      <w:pPr>
        <w:pStyle w:val="CRCoverPage"/>
        <w:tabs>
          <w:tab w:val="left" w:pos="1980"/>
        </w:tabs>
        <w:spacing w:line="259" w:lineRule="auto"/>
        <w:jc w:val="both"/>
        <w:rPr>
          <w:rFonts w:eastAsiaTheme="minorHAnsi" w:cs="Arial"/>
          <w:b/>
          <w:bCs/>
          <w:sz w:val="24"/>
          <w:szCs w:val="24"/>
          <w:lang w:val="en-US"/>
        </w:rPr>
      </w:pPr>
      <w:r w:rsidRPr="00844E68">
        <w:rPr>
          <w:rFonts w:eastAsiaTheme="minorHAnsi" w:cs="Arial"/>
          <w:b/>
          <w:bCs/>
          <w:sz w:val="24"/>
          <w:szCs w:val="24"/>
          <w:lang w:val="en-US"/>
        </w:rPr>
        <w:t>3GPP TSG RAN WG2 #11</w:t>
      </w:r>
      <w:r w:rsidR="00B12753">
        <w:rPr>
          <w:rFonts w:eastAsiaTheme="minorHAnsi" w:cs="Arial"/>
          <w:b/>
          <w:bCs/>
          <w:sz w:val="24"/>
          <w:szCs w:val="24"/>
          <w:lang w:val="en-US"/>
        </w:rPr>
        <w:t>9</w:t>
      </w:r>
      <w:r w:rsidRPr="00844E68">
        <w:rPr>
          <w:rFonts w:eastAsiaTheme="minorHAnsi" w:cs="Arial"/>
          <w:b/>
          <w:bCs/>
          <w:sz w:val="24"/>
          <w:szCs w:val="24"/>
          <w:lang w:val="en-US"/>
        </w:rPr>
        <w:t>-e</w:t>
      </w:r>
      <w:r w:rsidRPr="00844E68">
        <w:rPr>
          <w:rFonts w:eastAsiaTheme="minorHAnsi" w:cs="Arial"/>
          <w:b/>
          <w:bCs/>
          <w:sz w:val="24"/>
          <w:szCs w:val="24"/>
          <w:lang w:val="en-US"/>
        </w:rPr>
        <w:tab/>
        <w:t xml:space="preserve">                                    </w:t>
      </w:r>
      <w:r w:rsidR="007D6E25">
        <w:rPr>
          <w:rFonts w:eastAsiaTheme="minorHAnsi" w:cs="Arial"/>
          <w:b/>
          <w:bCs/>
          <w:sz w:val="24"/>
          <w:szCs w:val="24"/>
          <w:lang w:val="en-US"/>
        </w:rPr>
        <w:tab/>
      </w:r>
      <w:r w:rsidR="007D6E25">
        <w:rPr>
          <w:rFonts w:eastAsiaTheme="minorHAnsi" w:cs="Arial"/>
          <w:b/>
          <w:bCs/>
          <w:sz w:val="24"/>
          <w:szCs w:val="24"/>
          <w:lang w:val="en-US"/>
        </w:rPr>
        <w:tab/>
      </w:r>
      <w:r w:rsidR="007D6E25">
        <w:rPr>
          <w:rFonts w:eastAsiaTheme="minorHAnsi" w:cs="Arial"/>
          <w:b/>
          <w:bCs/>
          <w:sz w:val="24"/>
          <w:szCs w:val="24"/>
          <w:lang w:val="en-US"/>
        </w:rPr>
        <w:tab/>
      </w:r>
      <w:r w:rsidRPr="00F85CAB">
        <w:rPr>
          <w:rFonts w:eastAsiaTheme="minorHAnsi" w:cs="Arial"/>
          <w:b/>
          <w:bCs/>
          <w:sz w:val="24"/>
          <w:szCs w:val="24"/>
          <w:lang w:val="en-US"/>
        </w:rPr>
        <w:t>R2-22</w:t>
      </w:r>
      <w:r w:rsidR="00C42645">
        <w:rPr>
          <w:rFonts w:eastAsiaTheme="minorHAnsi" w:cs="Arial"/>
          <w:b/>
          <w:bCs/>
          <w:sz w:val="24"/>
          <w:szCs w:val="24"/>
          <w:lang w:val="en-US"/>
        </w:rPr>
        <w:t>08186</w:t>
      </w:r>
    </w:p>
    <w:p w14:paraId="109487DA" w14:textId="03165D40" w:rsidR="000B5698" w:rsidRPr="00844E68" w:rsidRDefault="000B5698" w:rsidP="000B5698">
      <w:pPr>
        <w:pStyle w:val="CRCoverPage"/>
        <w:tabs>
          <w:tab w:val="left" w:pos="1980"/>
        </w:tabs>
        <w:spacing w:line="259" w:lineRule="auto"/>
        <w:jc w:val="both"/>
        <w:rPr>
          <w:rFonts w:eastAsiaTheme="minorEastAsia" w:cs="Arial"/>
          <w:b/>
          <w:bCs/>
          <w:sz w:val="24"/>
          <w:szCs w:val="22"/>
          <w:lang w:val="en-US" w:eastAsia="ko-KR"/>
        </w:rPr>
      </w:pPr>
      <w:r w:rsidRPr="00844E68">
        <w:rPr>
          <w:rFonts w:eastAsiaTheme="minorEastAsia" w:cs="Arial"/>
          <w:b/>
          <w:bCs/>
          <w:sz w:val="24"/>
          <w:szCs w:val="22"/>
          <w:lang w:val="en-US" w:eastAsia="ko-KR"/>
        </w:rPr>
        <w:t>Online</w:t>
      </w:r>
      <w:r w:rsidRPr="00844E68">
        <w:rPr>
          <w:rFonts w:eastAsiaTheme="minorEastAsia" w:cs="Arial"/>
          <w:b/>
          <w:bCs/>
          <w:sz w:val="24"/>
          <w:szCs w:val="24"/>
          <w:lang w:val="en-US" w:eastAsia="ko-KR"/>
        </w:rPr>
        <w:t xml:space="preserve">, </w:t>
      </w:r>
      <w:r w:rsidR="00B12753">
        <w:rPr>
          <w:rFonts w:eastAsiaTheme="minorEastAsia" w:cs="Arial"/>
          <w:b/>
          <w:bCs/>
          <w:sz w:val="24"/>
          <w:szCs w:val="24"/>
          <w:lang w:val="en-US" w:eastAsia="ko-KR"/>
        </w:rPr>
        <w:t>17</w:t>
      </w:r>
      <w:r w:rsidR="00B12753" w:rsidRPr="00B12753">
        <w:rPr>
          <w:rFonts w:eastAsiaTheme="minorEastAsia" w:cs="Arial"/>
          <w:b/>
          <w:bCs/>
          <w:sz w:val="24"/>
          <w:szCs w:val="24"/>
          <w:vertAlign w:val="superscript"/>
          <w:lang w:val="en-US" w:eastAsia="ko-KR"/>
        </w:rPr>
        <w:t>th</w:t>
      </w:r>
      <w:r w:rsidR="00B12753">
        <w:rPr>
          <w:rFonts w:eastAsiaTheme="minorEastAsia" w:cs="Arial"/>
          <w:b/>
          <w:bCs/>
          <w:sz w:val="24"/>
          <w:szCs w:val="24"/>
          <w:lang w:val="en-US" w:eastAsia="ko-KR"/>
        </w:rPr>
        <w:t xml:space="preserve"> – 2</w:t>
      </w:r>
      <w:r w:rsidR="00107F7F">
        <w:rPr>
          <w:rFonts w:eastAsiaTheme="minorEastAsia" w:cs="Arial"/>
          <w:b/>
          <w:bCs/>
          <w:sz w:val="24"/>
          <w:szCs w:val="24"/>
          <w:lang w:val="en-US" w:eastAsia="ko-KR"/>
        </w:rPr>
        <w:t>9</w:t>
      </w:r>
      <w:r w:rsidR="00B12753" w:rsidRPr="00B12753">
        <w:rPr>
          <w:rFonts w:eastAsiaTheme="minorEastAsia" w:cs="Arial"/>
          <w:b/>
          <w:bCs/>
          <w:sz w:val="24"/>
          <w:szCs w:val="24"/>
          <w:vertAlign w:val="superscript"/>
          <w:lang w:val="en-US" w:eastAsia="ko-KR"/>
        </w:rPr>
        <w:t>th</w:t>
      </w:r>
      <w:r w:rsidR="00B12753">
        <w:rPr>
          <w:rFonts w:eastAsiaTheme="minorEastAsia" w:cs="Arial"/>
          <w:b/>
          <w:bCs/>
          <w:sz w:val="24"/>
          <w:szCs w:val="24"/>
          <w:lang w:val="en-US" w:eastAsia="ko-KR"/>
        </w:rPr>
        <w:t xml:space="preserve"> </w:t>
      </w:r>
      <w:proofErr w:type="gramStart"/>
      <w:r w:rsidR="00B12753">
        <w:rPr>
          <w:rFonts w:eastAsiaTheme="minorEastAsia" w:cs="Arial"/>
          <w:b/>
          <w:bCs/>
          <w:sz w:val="24"/>
          <w:szCs w:val="24"/>
          <w:lang w:val="en-US" w:eastAsia="ko-KR"/>
        </w:rPr>
        <w:t>August</w:t>
      </w:r>
      <w:r w:rsidRPr="00844E68">
        <w:rPr>
          <w:rFonts w:eastAsiaTheme="minorEastAsia" w:cs="Arial"/>
          <w:b/>
          <w:bCs/>
          <w:sz w:val="24"/>
          <w:szCs w:val="24"/>
          <w:lang w:val="en-US" w:eastAsia="ko-KR"/>
        </w:rPr>
        <w:t>,</w:t>
      </w:r>
      <w:proofErr w:type="gramEnd"/>
      <w:r w:rsidRPr="00844E68">
        <w:rPr>
          <w:rFonts w:eastAsiaTheme="minorEastAsia" w:cs="Arial"/>
          <w:b/>
          <w:bCs/>
          <w:sz w:val="24"/>
          <w:szCs w:val="24"/>
          <w:lang w:val="en-US" w:eastAsia="ko-KR"/>
        </w:rPr>
        <w:t xml:space="preserve"> 2022</w:t>
      </w:r>
    </w:p>
    <w:p w14:paraId="6584FA6E" w14:textId="77777777" w:rsidR="00E06B61" w:rsidRDefault="00E06B61" w:rsidP="00E06B61">
      <w:pPr>
        <w:pStyle w:val="CRCoverPage"/>
        <w:tabs>
          <w:tab w:val="left" w:pos="1980"/>
        </w:tabs>
        <w:spacing w:line="259" w:lineRule="auto"/>
        <w:jc w:val="both"/>
        <w:rPr>
          <w:rFonts w:cs="Arial"/>
          <w:b/>
          <w:bCs/>
          <w:sz w:val="24"/>
          <w:szCs w:val="24"/>
          <w:lang w:val="en-US"/>
        </w:rPr>
      </w:pPr>
    </w:p>
    <w:p w14:paraId="39883C2E" w14:textId="0E8CC182" w:rsidR="00E06B61" w:rsidRPr="00CA65F5" w:rsidRDefault="00E06B61" w:rsidP="00E06B6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387E49">
        <w:rPr>
          <w:rFonts w:cs="Arial"/>
          <w:b/>
          <w:bCs/>
          <w:sz w:val="24"/>
          <w:szCs w:val="24"/>
          <w:lang w:val="en-US"/>
        </w:rPr>
        <w:t>8.4.2.</w:t>
      </w:r>
      <w:r w:rsidR="00752B6D">
        <w:rPr>
          <w:rFonts w:cs="Arial"/>
          <w:b/>
          <w:bCs/>
          <w:sz w:val="24"/>
          <w:szCs w:val="24"/>
          <w:lang w:val="en-US"/>
        </w:rPr>
        <w:t>2</w:t>
      </w:r>
    </w:p>
    <w:p w14:paraId="3A7991F8" w14:textId="77777777" w:rsidR="00E06B61" w:rsidRPr="00CA65F5" w:rsidRDefault="00E06B61" w:rsidP="00E06B6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64E1A817" w14:textId="1B6F2B8D" w:rsidR="00E06B61" w:rsidRDefault="00E06B61" w:rsidP="00E06B6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752B6D">
        <w:rPr>
          <w:rFonts w:ascii="Arial" w:hAnsi="Arial" w:cs="Arial"/>
          <w:b/>
          <w:bCs/>
          <w:sz w:val="24"/>
          <w:szCs w:val="24"/>
        </w:rPr>
        <w:t xml:space="preserve">Support for </w:t>
      </w:r>
      <w:r w:rsidR="00B97022">
        <w:rPr>
          <w:rFonts w:ascii="Arial" w:hAnsi="Arial" w:cs="Arial"/>
          <w:b/>
          <w:bCs/>
          <w:sz w:val="24"/>
          <w:szCs w:val="24"/>
        </w:rPr>
        <w:t xml:space="preserve">L1/2 triggered </w:t>
      </w:r>
      <w:r w:rsidR="004D2E3F">
        <w:rPr>
          <w:rFonts w:ascii="Arial" w:hAnsi="Arial" w:cs="Arial"/>
          <w:b/>
          <w:bCs/>
          <w:sz w:val="24"/>
          <w:szCs w:val="24"/>
        </w:rPr>
        <w:t>handover.</w:t>
      </w:r>
    </w:p>
    <w:p w14:paraId="3FFA61C2" w14:textId="77777777" w:rsidR="00E06B61" w:rsidRPr="003630F9" w:rsidRDefault="00E06B61" w:rsidP="00E06B6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3851C6F" w14:textId="7A016DF2" w:rsidR="00E06B61"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36477409" w14:textId="291378AB" w:rsidR="00091528" w:rsidRDefault="00D80ED7" w:rsidP="00E06B61">
      <w:pPr>
        <w:jc w:val="both"/>
        <w:rPr>
          <w:lang w:val="en-US"/>
        </w:rPr>
      </w:pPr>
      <w:r>
        <w:rPr>
          <w:lang w:val="en-US"/>
        </w:rPr>
        <w:t>The WI on further NR mobility enhancements</w:t>
      </w:r>
      <w:r w:rsidR="005A63F0">
        <w:rPr>
          <w:lang w:val="en-US"/>
        </w:rPr>
        <w:t xml:space="preserve"> </w:t>
      </w:r>
      <w:r w:rsidR="005A63F0">
        <w:rPr>
          <w:lang w:val="en-US"/>
        </w:rPr>
        <w:fldChar w:fldCharType="begin"/>
      </w:r>
      <w:r w:rsidR="005A63F0">
        <w:rPr>
          <w:lang w:val="en-US"/>
        </w:rPr>
        <w:instrText xml:space="preserve"> REF _Ref110867306 \r \h </w:instrText>
      </w:r>
      <w:r w:rsidR="005A63F0">
        <w:rPr>
          <w:lang w:val="en-US"/>
        </w:rPr>
      </w:r>
      <w:r w:rsidR="005A63F0">
        <w:rPr>
          <w:lang w:val="en-US"/>
        </w:rPr>
        <w:fldChar w:fldCharType="separate"/>
      </w:r>
      <w:r w:rsidR="005A63F0">
        <w:rPr>
          <w:lang w:val="en-US"/>
        </w:rPr>
        <w:t>[1]</w:t>
      </w:r>
      <w:r w:rsidR="005A63F0">
        <w:rPr>
          <w:lang w:val="en-US"/>
        </w:rPr>
        <w:fldChar w:fldCharType="end"/>
      </w:r>
      <w:r>
        <w:rPr>
          <w:lang w:val="en-US"/>
        </w:rPr>
        <w:t xml:space="preserve"> includes the</w:t>
      </w:r>
      <w:r w:rsidR="005A63F0">
        <w:rPr>
          <w:lang w:val="en-US"/>
        </w:rPr>
        <w:t xml:space="preserve"> </w:t>
      </w:r>
      <w:r>
        <w:rPr>
          <w:lang w:val="en-US"/>
        </w:rPr>
        <w:t>following objectives for L1/2 based inter-cell mobility</w:t>
      </w:r>
      <w:r w:rsidR="005A63F0">
        <w:rPr>
          <w:lang w:val="en-US"/>
        </w:rPr>
        <w:t>:</w:t>
      </w:r>
      <w:r>
        <w:rPr>
          <w:lang w:val="en-US"/>
        </w:rPr>
        <w:t xml:space="preserve"> </w:t>
      </w:r>
    </w:p>
    <w:p w14:paraId="67F4B437" w14:textId="77777777" w:rsidR="00D80ED7" w:rsidRDefault="00D80ED7" w:rsidP="00E06B61">
      <w:pPr>
        <w:jc w:val="both"/>
        <w:rPr>
          <w:lang w:val="en-US"/>
        </w:rPr>
      </w:pPr>
    </w:p>
    <w:tbl>
      <w:tblPr>
        <w:tblStyle w:val="TableGrid"/>
        <w:tblW w:w="0" w:type="auto"/>
        <w:tblLook w:val="04A0" w:firstRow="1" w:lastRow="0" w:firstColumn="1" w:lastColumn="0" w:noHBand="0" w:noVBand="1"/>
      </w:tblPr>
      <w:tblGrid>
        <w:gridCol w:w="9629"/>
      </w:tblGrid>
      <w:tr w:rsidR="008C4121" w14:paraId="18C0D57F" w14:textId="77777777" w:rsidTr="008C4121">
        <w:tc>
          <w:tcPr>
            <w:tcW w:w="9629" w:type="dxa"/>
          </w:tcPr>
          <w:p w14:paraId="38CB2707" w14:textId="77777777" w:rsidR="008C4121" w:rsidRPr="00621C66" w:rsidRDefault="008C4121" w:rsidP="008C4121">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64A512BB" w14:textId="77777777" w:rsidR="008C4121" w:rsidRPr="00621C66" w:rsidRDefault="008C4121" w:rsidP="008C4121">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2BCC6BF2" w14:textId="77777777" w:rsidR="008C4121" w:rsidRPr="00621C66" w:rsidRDefault="008C4121" w:rsidP="008C4121">
            <w:pPr>
              <w:numPr>
                <w:ilvl w:val="0"/>
                <w:numId w:val="18"/>
              </w:numPr>
              <w:overflowPunct w:val="0"/>
              <w:autoSpaceDE w:val="0"/>
              <w:autoSpaceDN w:val="0"/>
              <w:adjustRightInd w:val="0"/>
              <w:jc w:val="both"/>
              <w:textAlignment w:val="baseline"/>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5C55FEDA" w14:textId="77777777" w:rsidR="008C4121" w:rsidRDefault="008C4121" w:rsidP="008C4121">
            <w:pPr>
              <w:numPr>
                <w:ilvl w:val="0"/>
                <w:numId w:val="18"/>
              </w:numPr>
              <w:overflowPunct w:val="0"/>
              <w:autoSpaceDE w:val="0"/>
              <w:autoSpaceDN w:val="0"/>
              <w:adjustRightInd w:val="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6A1EC629" w14:textId="77777777" w:rsidR="008C4121" w:rsidRPr="00F736B4" w:rsidRDefault="008C4121" w:rsidP="008C4121">
            <w:pPr>
              <w:numPr>
                <w:ilvl w:val="1"/>
                <w:numId w:val="18"/>
              </w:numPr>
              <w:overflowPunct w:val="0"/>
              <w:autoSpaceDE w:val="0"/>
              <w:autoSpaceDN w:val="0"/>
              <w:adjustRightInd w:val="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39A51259" w14:textId="77777777" w:rsidR="008C4121" w:rsidRPr="00651822" w:rsidRDefault="008C4121" w:rsidP="008C4121">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0CBDB90D" w14:textId="77777777" w:rsidR="008C4121" w:rsidRPr="00A5058F" w:rsidRDefault="008C4121" w:rsidP="008C4121">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6570DD98" w14:textId="77777777" w:rsidR="008C4121" w:rsidRDefault="008C4121" w:rsidP="008C4121">
            <w:pPr>
              <w:jc w:val="both"/>
              <w:rPr>
                <w:bCs/>
                <w:lang w:val="en-US"/>
              </w:rPr>
            </w:pPr>
          </w:p>
          <w:p w14:paraId="35F20110" w14:textId="77777777" w:rsidR="008C4121" w:rsidRPr="00F736B4" w:rsidRDefault="008C4121" w:rsidP="008C4121">
            <w:pPr>
              <w:ind w:left="720"/>
              <w:jc w:val="both"/>
              <w:rPr>
                <w:bCs/>
                <w:i/>
                <w:lang w:val="en-US"/>
              </w:rPr>
            </w:pPr>
            <w:r w:rsidRPr="00F736B4">
              <w:rPr>
                <w:bCs/>
                <w:i/>
                <w:lang w:val="en-US"/>
              </w:rPr>
              <w:t>Note 2: FR2 specific enhancements are not precluded, if any.</w:t>
            </w:r>
          </w:p>
          <w:p w14:paraId="201F8B6C" w14:textId="77777777" w:rsidR="008C4121" w:rsidRPr="00F736B4" w:rsidRDefault="008C4121" w:rsidP="008C4121">
            <w:pPr>
              <w:ind w:left="720"/>
              <w:jc w:val="both"/>
              <w:rPr>
                <w:bCs/>
                <w:i/>
                <w:lang w:val="en-US"/>
              </w:rPr>
            </w:pPr>
            <w:r w:rsidRPr="00F736B4">
              <w:rPr>
                <w:bCs/>
                <w:i/>
                <w:lang w:val="en-US"/>
              </w:rPr>
              <w:t>Note 3: The procedure of L1/L2 based inter-cell mobility are applicable to the following scenarios:</w:t>
            </w:r>
          </w:p>
          <w:p w14:paraId="75346215" w14:textId="77777777" w:rsidR="008C4121" w:rsidRPr="00F736B4" w:rsidRDefault="008C4121" w:rsidP="008C4121">
            <w:pPr>
              <w:numPr>
                <w:ilvl w:val="2"/>
                <w:numId w:val="19"/>
              </w:numPr>
              <w:overflowPunct w:val="0"/>
              <w:autoSpaceDE w:val="0"/>
              <w:autoSpaceDN w:val="0"/>
              <w:adjustRightInd w:val="0"/>
              <w:ind w:left="1443"/>
              <w:jc w:val="both"/>
              <w:textAlignment w:val="baseline"/>
              <w:rPr>
                <w:bCs/>
                <w:i/>
                <w:lang w:val="en-US"/>
              </w:rPr>
            </w:pPr>
            <w:r w:rsidRPr="00F736B4">
              <w:rPr>
                <w:bCs/>
                <w:i/>
                <w:lang w:val="en-US"/>
              </w:rPr>
              <w:t>Standalone, CA and NR-DC case with serving cell change within one CG</w:t>
            </w:r>
          </w:p>
          <w:p w14:paraId="75A3B424" w14:textId="77777777" w:rsidR="008C4121" w:rsidRPr="00F736B4" w:rsidRDefault="008C4121" w:rsidP="008C4121">
            <w:pPr>
              <w:numPr>
                <w:ilvl w:val="2"/>
                <w:numId w:val="19"/>
              </w:numPr>
              <w:overflowPunct w:val="0"/>
              <w:autoSpaceDE w:val="0"/>
              <w:autoSpaceDN w:val="0"/>
              <w:adjustRightInd w:val="0"/>
              <w:ind w:left="1443"/>
              <w:jc w:val="both"/>
              <w:textAlignment w:val="baseline"/>
              <w:rPr>
                <w:bCs/>
                <w:i/>
                <w:lang w:val="en-US"/>
              </w:rPr>
            </w:pPr>
            <w:r w:rsidRPr="00F736B4">
              <w:rPr>
                <w:bCs/>
                <w:i/>
                <w:lang w:val="en-US"/>
              </w:rPr>
              <w:t>Intra-DU case and intra-CU inter-DU case (applicable for Standalone and CA: no new RAN interfaces are expected)</w:t>
            </w:r>
          </w:p>
          <w:p w14:paraId="2442B44D" w14:textId="77777777" w:rsidR="008C4121" w:rsidRPr="00F736B4" w:rsidRDefault="008C4121" w:rsidP="008C4121">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intra-frequency and inter-frequency</w:t>
            </w:r>
          </w:p>
          <w:p w14:paraId="2E0BC51E" w14:textId="77777777" w:rsidR="008C4121" w:rsidRPr="00F736B4" w:rsidRDefault="008C4121" w:rsidP="008C4121">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FR1 and FR2</w:t>
            </w:r>
          </w:p>
          <w:p w14:paraId="1495CCE5" w14:textId="77777777" w:rsidR="008C4121" w:rsidRPr="00651822" w:rsidRDefault="008C4121" w:rsidP="008C4121">
            <w:pPr>
              <w:numPr>
                <w:ilvl w:val="2"/>
                <w:numId w:val="19"/>
              </w:numPr>
              <w:overflowPunct w:val="0"/>
              <w:autoSpaceDE w:val="0"/>
              <w:autoSpaceDN w:val="0"/>
              <w:adjustRightInd w:val="0"/>
              <w:ind w:left="1443"/>
              <w:jc w:val="both"/>
              <w:textAlignment w:val="baseline"/>
              <w:rPr>
                <w:bCs/>
                <w:i/>
                <w:lang w:val="en-US"/>
              </w:rPr>
            </w:pPr>
            <w:r w:rsidRPr="00651822">
              <w:rPr>
                <w:bCs/>
                <w:i/>
                <w:lang w:val="en-US"/>
              </w:rPr>
              <w:t>Source and target cells may be synchronized or non-synchronized</w:t>
            </w:r>
          </w:p>
          <w:p w14:paraId="10E76956" w14:textId="77777777" w:rsidR="008C4121" w:rsidRDefault="008C4121" w:rsidP="00E06B61">
            <w:pPr>
              <w:jc w:val="both"/>
              <w:rPr>
                <w:lang w:val="en-US"/>
              </w:rPr>
            </w:pPr>
          </w:p>
        </w:tc>
      </w:tr>
    </w:tbl>
    <w:p w14:paraId="3D9A87E5" w14:textId="339A6906" w:rsidR="004316C0" w:rsidRDefault="004316C0" w:rsidP="00E06B61">
      <w:pPr>
        <w:jc w:val="both"/>
        <w:rPr>
          <w:lang w:val="en-US"/>
        </w:rPr>
      </w:pPr>
    </w:p>
    <w:p w14:paraId="45BBD908" w14:textId="0447545E" w:rsidR="00624809" w:rsidRPr="00B5390A" w:rsidRDefault="00624809" w:rsidP="00E06B61">
      <w:pPr>
        <w:jc w:val="both"/>
        <w:rPr>
          <w:lang w:val="en-US"/>
        </w:rPr>
      </w:pPr>
      <w:r>
        <w:rPr>
          <w:lang w:val="en-US"/>
        </w:rPr>
        <w:t xml:space="preserve">The main aim of this objective is to introduce L1/2 triggered cell change, for mobility latency reduction. In this contribution we </w:t>
      </w:r>
      <w:r w:rsidR="00A6000C">
        <w:rPr>
          <w:lang w:val="en-US"/>
        </w:rPr>
        <w:t xml:space="preserve">provide some </w:t>
      </w:r>
      <w:r w:rsidR="00EC25EB">
        <w:rPr>
          <w:lang w:val="en-US"/>
        </w:rPr>
        <w:t>potential solution directions for consideration.</w:t>
      </w:r>
    </w:p>
    <w:p w14:paraId="17DCE3A6" w14:textId="77777777" w:rsidR="00E06B61"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4F357E08" w14:textId="77777777" w:rsidR="00842E29" w:rsidRDefault="00842E29" w:rsidP="00E229AC">
      <w:pPr>
        <w:rPr>
          <w:noProof/>
        </w:rPr>
      </w:pPr>
    </w:p>
    <w:p w14:paraId="78666A6B" w14:textId="754D4B21" w:rsidR="00F4220A" w:rsidRDefault="007B595E" w:rsidP="00E229AC">
      <w:pPr>
        <w:rPr>
          <w:noProof/>
        </w:rPr>
      </w:pPr>
      <w:r>
        <w:rPr>
          <w:noProof/>
        </w:rPr>
        <w:t xml:space="preserve">Figure 1 shows an overview of the main factors </w:t>
      </w:r>
      <w:r w:rsidR="00196E33">
        <w:rPr>
          <w:noProof/>
        </w:rPr>
        <w:t>contributing to</w:t>
      </w:r>
      <w:r w:rsidR="003D11F4">
        <w:rPr>
          <w:noProof/>
        </w:rPr>
        <w:t>wards</w:t>
      </w:r>
      <w:r w:rsidR="00196E33">
        <w:rPr>
          <w:noProof/>
        </w:rPr>
        <w:t xml:space="preserve"> the overall handover latency. </w:t>
      </w:r>
    </w:p>
    <w:p w14:paraId="31482534" w14:textId="77777777" w:rsidR="00C947C8" w:rsidRDefault="00C947C8" w:rsidP="00E229AC">
      <w:pPr>
        <w:rPr>
          <w:noProof/>
        </w:rPr>
      </w:pPr>
    </w:p>
    <w:p w14:paraId="50D46AC0" w14:textId="78D7C944" w:rsidR="008F4846" w:rsidRDefault="0090768E" w:rsidP="00CE3250">
      <w:r>
        <w:rPr>
          <w:noProof/>
        </w:rPr>
        <w:lastRenderedPageBreak/>
        <w:drawing>
          <wp:inline distT="0" distB="0" distL="0" distR="0" wp14:anchorId="284B7342" wp14:editId="4B82ED56">
            <wp:extent cx="6889115" cy="6669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89115" cy="6669405"/>
                    </a:xfrm>
                    <a:prstGeom prst="rect">
                      <a:avLst/>
                    </a:prstGeom>
                    <a:noFill/>
                  </pic:spPr>
                </pic:pic>
              </a:graphicData>
            </a:graphic>
          </wp:inline>
        </w:drawing>
      </w:r>
    </w:p>
    <w:p w14:paraId="7FD0BBE2" w14:textId="40737FA9" w:rsidR="00F4220A" w:rsidRPr="00196E33" w:rsidRDefault="00F4220A" w:rsidP="00196E33">
      <w:pPr>
        <w:jc w:val="center"/>
        <w:rPr>
          <w:b/>
          <w:bCs/>
        </w:rPr>
      </w:pPr>
      <w:r w:rsidRPr="00196E33">
        <w:rPr>
          <w:b/>
          <w:bCs/>
        </w:rPr>
        <w:t xml:space="preserve">Figure 1: </w:t>
      </w:r>
      <w:r w:rsidR="00196E33" w:rsidRPr="00196E33">
        <w:rPr>
          <w:b/>
          <w:bCs/>
        </w:rPr>
        <w:t xml:space="preserve">Summary of contributing </w:t>
      </w:r>
      <w:r w:rsidR="003D11F4">
        <w:rPr>
          <w:b/>
          <w:bCs/>
        </w:rPr>
        <w:t>factors</w:t>
      </w:r>
      <w:r w:rsidR="00196E33" w:rsidRPr="00196E33">
        <w:rPr>
          <w:b/>
          <w:bCs/>
        </w:rPr>
        <w:t xml:space="preserve"> to</w:t>
      </w:r>
      <w:r w:rsidR="003D11F4">
        <w:rPr>
          <w:b/>
          <w:bCs/>
        </w:rPr>
        <w:t>wards</w:t>
      </w:r>
      <w:r w:rsidR="00196E33" w:rsidRPr="00196E33">
        <w:rPr>
          <w:b/>
          <w:bCs/>
        </w:rPr>
        <w:t xml:space="preserve"> handover latency</w:t>
      </w:r>
    </w:p>
    <w:p w14:paraId="3C5272A8" w14:textId="42056675" w:rsidR="00196E33" w:rsidRDefault="00196E33" w:rsidP="00E229AC"/>
    <w:p w14:paraId="367EABD2" w14:textId="77777777" w:rsidR="0039763A" w:rsidRDefault="0039763A" w:rsidP="00E229AC">
      <w:pPr>
        <w:rPr>
          <w:b/>
          <w:bCs/>
          <w:u w:val="single"/>
        </w:rPr>
      </w:pPr>
    </w:p>
    <w:p w14:paraId="71D127BC" w14:textId="77777777" w:rsidR="0039763A" w:rsidRDefault="0039763A" w:rsidP="00E229AC">
      <w:pPr>
        <w:rPr>
          <w:b/>
          <w:bCs/>
          <w:u w:val="single"/>
        </w:rPr>
      </w:pPr>
    </w:p>
    <w:p w14:paraId="732FD762" w14:textId="77777777" w:rsidR="0039763A" w:rsidRDefault="0039763A" w:rsidP="00E229AC">
      <w:pPr>
        <w:rPr>
          <w:b/>
          <w:bCs/>
          <w:u w:val="single"/>
        </w:rPr>
      </w:pPr>
    </w:p>
    <w:p w14:paraId="27B4FB88" w14:textId="0F90EB4A" w:rsidR="003842A0" w:rsidRDefault="0073661C" w:rsidP="0073661C">
      <w:pPr>
        <w:pStyle w:val="Heading2"/>
      </w:pPr>
      <w:r>
        <w:t>2.1</w:t>
      </w:r>
      <w:r>
        <w:tab/>
      </w:r>
      <w:r w:rsidR="00BF2958" w:rsidRPr="00BF2958">
        <w:t>Preparation</w:t>
      </w:r>
      <w:r w:rsidR="003842A0">
        <w:t>, Reconfiguration.</w:t>
      </w:r>
    </w:p>
    <w:p w14:paraId="23E8ACAA" w14:textId="5CCBCDB6" w:rsidR="003842A0" w:rsidRDefault="003842A0" w:rsidP="00E229AC">
      <w:pPr>
        <w:rPr>
          <w:b/>
          <w:bCs/>
          <w:u w:val="single"/>
        </w:rPr>
      </w:pPr>
    </w:p>
    <w:p w14:paraId="427F1C62" w14:textId="77777777" w:rsidR="002F4672" w:rsidRDefault="003842A0" w:rsidP="00E229AC">
      <w:r>
        <w:t xml:space="preserve">The handover preparation and reconfiguration phases are primarily handled by RRC for a legacy handover (including CHO). </w:t>
      </w:r>
    </w:p>
    <w:p w14:paraId="79893D44" w14:textId="0F4A5613" w:rsidR="002F4672" w:rsidRDefault="002F4672" w:rsidP="00E229AC"/>
    <w:p w14:paraId="31D4BDB7" w14:textId="09B7FDF6" w:rsidR="0073661C" w:rsidRPr="0073661C" w:rsidRDefault="0073661C" w:rsidP="00E229AC">
      <w:pPr>
        <w:rPr>
          <w:b/>
          <w:bCs/>
          <w:u w:val="single"/>
        </w:rPr>
      </w:pPr>
      <w:r w:rsidRPr="0073661C">
        <w:rPr>
          <w:b/>
          <w:bCs/>
          <w:u w:val="single"/>
        </w:rPr>
        <w:t xml:space="preserve">RRC Pre-configuration. </w:t>
      </w:r>
    </w:p>
    <w:p w14:paraId="7296721F" w14:textId="184FD121" w:rsidR="0073661C" w:rsidRDefault="0073661C" w:rsidP="00E229AC"/>
    <w:p w14:paraId="49169A08" w14:textId="4B5219DE" w:rsidR="0073661C" w:rsidRDefault="00094E0C" w:rsidP="00E229AC">
      <w:r>
        <w:t xml:space="preserve">It is reasonably clear that in order to support </w:t>
      </w:r>
      <w:r w:rsidR="00D63FE6">
        <w:t xml:space="preserve">a L1/2 triggered </w:t>
      </w:r>
      <w:r w:rsidR="00752841">
        <w:t>mobility</w:t>
      </w:r>
      <w:r w:rsidR="00D63FE6">
        <w:t xml:space="preserve">, some RRC pre-configuration is needed so that the </w:t>
      </w:r>
      <w:r w:rsidR="00186469">
        <w:t xml:space="preserve">stored </w:t>
      </w:r>
      <w:r w:rsidR="00D63FE6">
        <w:t xml:space="preserve">RRC configuration </w:t>
      </w:r>
      <w:r w:rsidR="00186469">
        <w:t>(</w:t>
      </w:r>
      <w:proofErr w:type="gramStart"/>
      <w:r w:rsidR="00186469">
        <w:t>e.g.</w:t>
      </w:r>
      <w:proofErr w:type="gramEnd"/>
      <w:r w:rsidR="00186469">
        <w:t xml:space="preserve"> </w:t>
      </w:r>
      <w:proofErr w:type="spellStart"/>
      <w:r w:rsidR="00186469">
        <w:t>SpCellConfig</w:t>
      </w:r>
      <w:proofErr w:type="spellEnd"/>
      <w:r w:rsidR="00186469">
        <w:t xml:space="preserve">, </w:t>
      </w:r>
      <w:proofErr w:type="spellStart"/>
      <w:r w:rsidR="00186469">
        <w:t>SCellConfig</w:t>
      </w:r>
      <w:proofErr w:type="spellEnd"/>
      <w:r w:rsidR="00186469">
        <w:t xml:space="preserve">) </w:t>
      </w:r>
      <w:r w:rsidR="00D63FE6">
        <w:t xml:space="preserve">can be applied upon receiving </w:t>
      </w:r>
      <w:r w:rsidR="00752841">
        <w:t xml:space="preserve">the L1/2 mobility </w:t>
      </w:r>
      <w:r w:rsidR="00752841">
        <w:lastRenderedPageBreak/>
        <w:t>indication</w:t>
      </w:r>
      <w:r w:rsidR="0044437C">
        <w:t>. Further</w:t>
      </w:r>
      <w:r w:rsidR="00752841">
        <w:t>more</w:t>
      </w:r>
      <w:r w:rsidR="0044437C">
        <w:t xml:space="preserve">, any new mechanism needs to be backwards compatible </w:t>
      </w:r>
      <w:r w:rsidR="007860F8">
        <w:t xml:space="preserve">and co-exist </w:t>
      </w:r>
      <w:r w:rsidR="0044437C">
        <w:t>with existing procedures</w:t>
      </w:r>
      <w:r w:rsidR="00186469">
        <w:t>, for example</w:t>
      </w:r>
      <w:r w:rsidR="00752841">
        <w:t>,</w:t>
      </w:r>
      <w:r w:rsidR="00186469">
        <w:t xml:space="preserve"> to support inter-CU handover </w:t>
      </w:r>
      <w:r w:rsidR="00752841">
        <w:t xml:space="preserve">via </w:t>
      </w:r>
      <w:r w:rsidR="00186469">
        <w:t>a L3</w:t>
      </w:r>
      <w:r w:rsidR="00752841">
        <w:t xml:space="preserve"> mobility (i.e.,</w:t>
      </w:r>
      <w:r w:rsidR="00186469">
        <w:t xml:space="preserve"> RRC Reconfiguration</w:t>
      </w:r>
      <w:r w:rsidR="00752841">
        <w:t>)</w:t>
      </w:r>
      <w:r w:rsidR="00186469">
        <w:t>.</w:t>
      </w:r>
      <w:r w:rsidR="002B717C">
        <w:t xml:space="preserve"> To achieve this, it could be possible</w:t>
      </w:r>
      <w:r w:rsidR="00752841">
        <w:t>,</w:t>
      </w:r>
      <w:r w:rsidR="002B717C">
        <w:t xml:space="preserve"> for example</w:t>
      </w:r>
      <w:r w:rsidR="00752841">
        <w:t>,</w:t>
      </w:r>
      <w:r w:rsidR="002B717C">
        <w:t xml:space="preserve"> to configure a list of </w:t>
      </w:r>
      <w:r w:rsidR="00752841">
        <w:t xml:space="preserve">L1/2 mobility </w:t>
      </w:r>
      <w:r w:rsidR="002B717C">
        <w:t>candidate cells which have configurations that can be activated by L1/2 command</w:t>
      </w:r>
      <w:r w:rsidR="0094457C">
        <w:t xml:space="preserve">. Each candidate cell might have an </w:t>
      </w:r>
      <w:proofErr w:type="spellStart"/>
      <w:r w:rsidR="0094457C">
        <w:t>SpCellConfig</w:t>
      </w:r>
      <w:proofErr w:type="spellEnd"/>
      <w:r w:rsidR="0094457C">
        <w:t xml:space="preserve"> and an </w:t>
      </w:r>
      <w:proofErr w:type="spellStart"/>
      <w:r w:rsidR="0094457C">
        <w:t>SCellConfig</w:t>
      </w:r>
      <w:proofErr w:type="spellEnd"/>
      <w:r w:rsidR="0094457C">
        <w:t xml:space="preserve"> to be applied depending on the role dynamically assigned by L1/2 signalling. </w:t>
      </w:r>
      <w:r w:rsidR="006B754B">
        <w:t xml:space="preserve">If a cell is indicated to become </w:t>
      </w:r>
      <w:r w:rsidR="00752841">
        <w:t xml:space="preserve">an </w:t>
      </w:r>
      <w:proofErr w:type="spellStart"/>
      <w:r w:rsidR="00752841">
        <w:t>Sp</w:t>
      </w:r>
      <w:r w:rsidR="006B754B">
        <w:t>Cell</w:t>
      </w:r>
      <w:proofErr w:type="spellEnd"/>
      <w:r w:rsidR="006B754B">
        <w:t xml:space="preserve">, for example, then the stored </w:t>
      </w:r>
      <w:proofErr w:type="spellStart"/>
      <w:r w:rsidR="006B754B">
        <w:t>SpCellConfig</w:t>
      </w:r>
      <w:proofErr w:type="spellEnd"/>
      <w:r w:rsidR="006B754B">
        <w:t xml:space="preserve"> </w:t>
      </w:r>
      <w:r w:rsidR="00752841">
        <w:t xml:space="preserve">associated with this cell </w:t>
      </w:r>
      <w:r w:rsidR="006B754B">
        <w:t>can be applied, and the existing RRC procedure can be re-used in the same wa</w:t>
      </w:r>
      <w:r w:rsidR="00752841">
        <w:t>y</w:t>
      </w:r>
      <w:r w:rsidR="006B754B">
        <w:t xml:space="preserve"> as if an RRC Reconfiguration had been received (re-initialise security, release current configuration, apply new configuration, etc). This would be </w:t>
      </w:r>
      <w:r w:rsidR="000F52F1">
        <w:t>the most straightforward approach both in terms of re-us</w:t>
      </w:r>
      <w:r w:rsidR="00752841">
        <w:t xml:space="preserve">ing </w:t>
      </w:r>
      <w:r w:rsidR="000F52F1">
        <w:t xml:space="preserve">the existing functionality and in terms of co-existence with the existing functionality. </w:t>
      </w:r>
    </w:p>
    <w:p w14:paraId="596324E3" w14:textId="4B8B1153" w:rsidR="00491D1B" w:rsidRDefault="00491D1B" w:rsidP="00E229AC"/>
    <w:p w14:paraId="31247678" w14:textId="27B72866" w:rsidR="00491D1B" w:rsidRDefault="00491D1B" w:rsidP="00E229AC">
      <w:pPr>
        <w:rPr>
          <w:b/>
          <w:bCs/>
        </w:rPr>
      </w:pPr>
      <w:r w:rsidRPr="00D92122">
        <w:rPr>
          <w:b/>
          <w:bCs/>
        </w:rPr>
        <w:t>Proposal 1</w:t>
      </w:r>
      <w:r w:rsidR="00107F7F">
        <w:rPr>
          <w:b/>
          <w:bCs/>
        </w:rPr>
        <w:t>a</w:t>
      </w:r>
      <w:r w:rsidRPr="00D92122">
        <w:rPr>
          <w:b/>
          <w:bCs/>
        </w:rPr>
        <w:t xml:space="preserve">: </w:t>
      </w:r>
      <w:r w:rsidR="0029699C">
        <w:rPr>
          <w:b/>
          <w:bCs/>
        </w:rPr>
        <w:t>C</w:t>
      </w:r>
      <w:r w:rsidRPr="00D92122">
        <w:rPr>
          <w:b/>
          <w:bCs/>
        </w:rPr>
        <w:t xml:space="preserve">andidate </w:t>
      </w:r>
      <w:r w:rsidR="00CE31B8">
        <w:rPr>
          <w:b/>
          <w:bCs/>
        </w:rPr>
        <w:t xml:space="preserve">serving </w:t>
      </w:r>
      <w:r w:rsidRPr="00D92122">
        <w:rPr>
          <w:b/>
          <w:bCs/>
        </w:rPr>
        <w:t xml:space="preserve">cells </w:t>
      </w:r>
      <w:r w:rsidR="00752841">
        <w:rPr>
          <w:b/>
          <w:bCs/>
        </w:rPr>
        <w:t xml:space="preserve">for L1/2 mobility </w:t>
      </w:r>
      <w:r w:rsidR="0029699C">
        <w:rPr>
          <w:b/>
          <w:bCs/>
        </w:rPr>
        <w:t>are</w:t>
      </w:r>
      <w:r w:rsidRPr="00D92122">
        <w:rPr>
          <w:b/>
          <w:bCs/>
        </w:rPr>
        <w:t xml:space="preserve"> preconfigured by RRC, and the configuration</w:t>
      </w:r>
      <w:r w:rsidR="00FA2A45" w:rsidRPr="00D92122">
        <w:rPr>
          <w:b/>
          <w:bCs/>
        </w:rPr>
        <w:t xml:space="preserve"> contains all of the </w:t>
      </w:r>
      <w:r w:rsidR="00D92122" w:rsidRPr="00D92122">
        <w:rPr>
          <w:b/>
          <w:bCs/>
        </w:rPr>
        <w:t>information needed to perform the RRC Reconfiguration (</w:t>
      </w:r>
      <w:proofErr w:type="gramStart"/>
      <w:r w:rsidR="00D92122" w:rsidRPr="00D92122">
        <w:rPr>
          <w:b/>
          <w:bCs/>
        </w:rPr>
        <w:t>e.g.</w:t>
      </w:r>
      <w:proofErr w:type="gramEnd"/>
      <w:r w:rsidR="00D92122" w:rsidRPr="00D92122">
        <w:rPr>
          <w:b/>
          <w:bCs/>
        </w:rPr>
        <w:t xml:space="preserve"> </w:t>
      </w:r>
      <w:proofErr w:type="spellStart"/>
      <w:r w:rsidR="00D92122" w:rsidRPr="00D92122">
        <w:rPr>
          <w:b/>
          <w:bCs/>
        </w:rPr>
        <w:t>SpCellConfig</w:t>
      </w:r>
      <w:proofErr w:type="spellEnd"/>
      <w:r w:rsidR="00D92122" w:rsidRPr="00D92122">
        <w:rPr>
          <w:b/>
          <w:bCs/>
        </w:rPr>
        <w:t xml:space="preserve">, </w:t>
      </w:r>
      <w:proofErr w:type="spellStart"/>
      <w:r w:rsidR="00D92122" w:rsidRPr="00D92122">
        <w:rPr>
          <w:b/>
          <w:bCs/>
        </w:rPr>
        <w:t>SCellConfig</w:t>
      </w:r>
      <w:proofErr w:type="spellEnd"/>
      <w:r w:rsidR="00D92122" w:rsidRPr="00D92122">
        <w:rPr>
          <w:b/>
          <w:bCs/>
        </w:rPr>
        <w:t>).</w:t>
      </w:r>
    </w:p>
    <w:p w14:paraId="7CD3FF9E" w14:textId="1D9FC170" w:rsidR="00107F7F" w:rsidRDefault="00107F7F" w:rsidP="00E229AC">
      <w:pPr>
        <w:rPr>
          <w:b/>
          <w:bCs/>
        </w:rPr>
      </w:pPr>
    </w:p>
    <w:p w14:paraId="4A7F333C" w14:textId="4345CC0F" w:rsidR="00107F7F" w:rsidRPr="00D92122" w:rsidRDefault="00107F7F" w:rsidP="00107F7F">
      <w:pPr>
        <w:rPr>
          <w:b/>
          <w:bCs/>
        </w:rPr>
      </w:pPr>
      <w:r w:rsidRPr="00D92122">
        <w:rPr>
          <w:b/>
          <w:bCs/>
        </w:rPr>
        <w:t>Proposal 1</w:t>
      </w:r>
      <w:r>
        <w:rPr>
          <w:b/>
          <w:bCs/>
        </w:rPr>
        <w:t>b</w:t>
      </w:r>
      <w:r w:rsidRPr="00D92122">
        <w:rPr>
          <w:b/>
          <w:bCs/>
        </w:rPr>
        <w:t xml:space="preserve">: </w:t>
      </w:r>
      <w:r w:rsidR="00FF06CD">
        <w:rPr>
          <w:b/>
          <w:bCs/>
        </w:rPr>
        <w:t>The configured c</w:t>
      </w:r>
      <w:r w:rsidRPr="00D92122">
        <w:rPr>
          <w:b/>
          <w:bCs/>
        </w:rPr>
        <w:t xml:space="preserve">andidate </w:t>
      </w:r>
      <w:r>
        <w:rPr>
          <w:b/>
          <w:bCs/>
        </w:rPr>
        <w:t xml:space="preserve">serving </w:t>
      </w:r>
      <w:r w:rsidRPr="00D92122">
        <w:rPr>
          <w:b/>
          <w:bCs/>
        </w:rPr>
        <w:t>cell</w:t>
      </w:r>
      <w:r>
        <w:rPr>
          <w:b/>
          <w:bCs/>
        </w:rPr>
        <w:t xml:space="preserve"> list</w:t>
      </w:r>
      <w:r w:rsidRPr="00D92122">
        <w:rPr>
          <w:b/>
          <w:bCs/>
        </w:rPr>
        <w:t xml:space="preserve"> </w:t>
      </w:r>
      <w:r w:rsidR="00FF06CD">
        <w:rPr>
          <w:b/>
          <w:bCs/>
        </w:rPr>
        <w:t>may include serving and non-serving cells.</w:t>
      </w:r>
    </w:p>
    <w:p w14:paraId="14CC94E5" w14:textId="77777777" w:rsidR="00107F7F" w:rsidRPr="00D92122" w:rsidRDefault="00107F7F" w:rsidP="00E229AC">
      <w:pPr>
        <w:rPr>
          <w:b/>
          <w:bCs/>
        </w:rPr>
      </w:pPr>
    </w:p>
    <w:p w14:paraId="764FB980" w14:textId="6B8C4F2B" w:rsidR="00D92122" w:rsidRPr="00D92122" w:rsidRDefault="00D92122" w:rsidP="00E229AC">
      <w:pPr>
        <w:rPr>
          <w:b/>
          <w:bCs/>
        </w:rPr>
      </w:pPr>
      <w:r w:rsidRPr="00D92122">
        <w:rPr>
          <w:b/>
          <w:bCs/>
        </w:rPr>
        <w:t xml:space="preserve"> </w:t>
      </w:r>
    </w:p>
    <w:p w14:paraId="051C8A72" w14:textId="603D0B33" w:rsidR="0073661C" w:rsidRDefault="00D92122" w:rsidP="00E229AC">
      <w:r>
        <w:t xml:space="preserve">In addition </w:t>
      </w:r>
      <w:r w:rsidR="00CE31B8">
        <w:t xml:space="preserve">to </w:t>
      </w:r>
      <w:proofErr w:type="spellStart"/>
      <w:r w:rsidR="00CE31B8">
        <w:t>SpCellConfig</w:t>
      </w:r>
      <w:proofErr w:type="spellEnd"/>
      <w:r w:rsidR="00CE31B8">
        <w:t xml:space="preserve"> and </w:t>
      </w:r>
      <w:proofErr w:type="spellStart"/>
      <w:r w:rsidR="00CE31B8">
        <w:t>SCellConfig</w:t>
      </w:r>
      <w:proofErr w:type="spellEnd"/>
      <w:r w:rsidR="00CE31B8">
        <w:t xml:space="preserve">, other configurations may need to be stored. Depending on the other possible enhancements we may need to provide </w:t>
      </w:r>
      <w:r w:rsidR="00352217">
        <w:t>L1 or RRC measurement configurations</w:t>
      </w:r>
      <w:r w:rsidR="006655A7">
        <w:t xml:space="preserve"> for candidate cells for activation once the cell becomes a serving cell</w:t>
      </w:r>
      <w:r w:rsidR="00352217">
        <w:t>, potentially including conditional</w:t>
      </w:r>
      <w:r w:rsidR="006655A7">
        <w:t xml:space="preserve"> handover</w:t>
      </w:r>
      <w:r w:rsidR="00352217">
        <w:t xml:space="preserve"> triggers and so on. </w:t>
      </w:r>
      <w:r w:rsidR="0029699C">
        <w:t>We may also need to provide RLM/BFD configuration</w:t>
      </w:r>
      <w:r w:rsidR="004258D5">
        <w:t>, TRS tracking</w:t>
      </w:r>
      <w:r w:rsidR="006655A7">
        <w:t>, CSI reporting,</w:t>
      </w:r>
      <w:r w:rsidR="004258D5">
        <w:t xml:space="preserve"> L1 inter-cell beam management configurations to apply before a handover. </w:t>
      </w:r>
    </w:p>
    <w:p w14:paraId="2F261786" w14:textId="6361446C" w:rsidR="004258D5" w:rsidRDefault="004258D5" w:rsidP="00E229AC"/>
    <w:p w14:paraId="258ACDC9" w14:textId="2F3D66D6" w:rsidR="004258D5" w:rsidRPr="006655A7" w:rsidRDefault="004258D5" w:rsidP="00E229AC">
      <w:pPr>
        <w:rPr>
          <w:b/>
          <w:bCs/>
        </w:rPr>
      </w:pPr>
      <w:r w:rsidRPr="006655A7">
        <w:rPr>
          <w:b/>
          <w:bCs/>
        </w:rPr>
        <w:t xml:space="preserve">Proposal 2: </w:t>
      </w:r>
      <w:r w:rsidR="00343BA2" w:rsidRPr="006655A7">
        <w:rPr>
          <w:b/>
          <w:bCs/>
        </w:rPr>
        <w:t>FFS</w:t>
      </w:r>
      <w:r w:rsidRPr="006655A7">
        <w:rPr>
          <w:b/>
          <w:bCs/>
        </w:rPr>
        <w:t xml:space="preserve"> what additional </w:t>
      </w:r>
      <w:r w:rsidR="006655A7" w:rsidRPr="006655A7">
        <w:rPr>
          <w:b/>
          <w:bCs/>
        </w:rPr>
        <w:t xml:space="preserve">candidate cell functionality needs to be pre-configured by RRC, </w:t>
      </w:r>
      <w:proofErr w:type="gramStart"/>
      <w:r w:rsidR="006655A7" w:rsidRPr="006655A7">
        <w:rPr>
          <w:b/>
          <w:bCs/>
        </w:rPr>
        <w:t>e.g.</w:t>
      </w:r>
      <w:proofErr w:type="gramEnd"/>
      <w:r w:rsidR="006655A7" w:rsidRPr="006655A7">
        <w:rPr>
          <w:b/>
          <w:bCs/>
        </w:rPr>
        <w:t xml:space="preserve"> measurement configurations, CHO, RLM/BFD, CSI reporting, TRS tracking, etc.</w:t>
      </w:r>
    </w:p>
    <w:p w14:paraId="719AB40E" w14:textId="77777777" w:rsidR="00D92122" w:rsidRPr="0073661C" w:rsidRDefault="00D92122" w:rsidP="00E229AC"/>
    <w:p w14:paraId="7D77F57D" w14:textId="0B2151E7" w:rsidR="0073661C" w:rsidRPr="0073661C" w:rsidRDefault="0073661C" w:rsidP="00E229AC">
      <w:pPr>
        <w:rPr>
          <w:b/>
          <w:bCs/>
          <w:u w:val="single"/>
        </w:rPr>
      </w:pPr>
      <w:r w:rsidRPr="0073661C">
        <w:rPr>
          <w:b/>
          <w:bCs/>
          <w:u w:val="single"/>
        </w:rPr>
        <w:t>Measurements</w:t>
      </w:r>
      <w:r>
        <w:rPr>
          <w:b/>
          <w:bCs/>
          <w:u w:val="single"/>
        </w:rPr>
        <w:t>.</w:t>
      </w:r>
    </w:p>
    <w:p w14:paraId="05949AC9" w14:textId="018CEE0D" w:rsidR="009243C7" w:rsidRDefault="00DD45D2" w:rsidP="00E229AC">
      <w:r>
        <w:t xml:space="preserve">Measurements (for measurement reporting/CHO/CPAC) </w:t>
      </w:r>
      <w:r w:rsidR="008E3A00">
        <w:t>based on RSRP/RSRQ</w:t>
      </w:r>
      <w:r w:rsidR="007E20FE">
        <w:t>/RS-SINR</w:t>
      </w:r>
      <w:r w:rsidR="008E3A00">
        <w:t xml:space="preserve"> </w:t>
      </w:r>
      <w:r>
        <w:t xml:space="preserve">are performed </w:t>
      </w:r>
      <w:r w:rsidR="008E3A00">
        <w:t>at L1</w:t>
      </w:r>
      <w:r>
        <w:t>,</w:t>
      </w:r>
      <w:r w:rsidR="00A85DD8">
        <w:t xml:space="preserve"> </w:t>
      </w:r>
      <w:r>
        <w:t xml:space="preserve">they are </w:t>
      </w:r>
      <w:r w:rsidR="007E20FE">
        <w:t>evaluated and reported</w:t>
      </w:r>
      <w:r>
        <w:t xml:space="preserve"> (or CHO/CPAC executed)</w:t>
      </w:r>
      <w:r w:rsidR="007E20FE">
        <w:t xml:space="preserve"> at RRC </w:t>
      </w:r>
      <w:r>
        <w:t xml:space="preserve">level, </w:t>
      </w:r>
      <w:proofErr w:type="gramStart"/>
      <w:r w:rsidR="007E20FE">
        <w:t>in order to</w:t>
      </w:r>
      <w:proofErr w:type="gramEnd"/>
      <w:r w:rsidR="007E20FE">
        <w:t xml:space="preserve"> appropriately filter and evaluate/compare serving and neighbour cell measurements and report to the appropriate network layer. </w:t>
      </w:r>
      <w:r w:rsidR="002F4672">
        <w:t>For certain cases, for example</w:t>
      </w:r>
      <w:r>
        <w:t>,</w:t>
      </w:r>
      <w:r w:rsidR="002F4672">
        <w:t xml:space="preserve"> in the intra-DU handover case, it could be beneficial to report measurements at lower layers</w:t>
      </w:r>
      <w:r>
        <w:t xml:space="preserve"> (e.g., MAC level), to enable </w:t>
      </w:r>
      <w:r w:rsidR="002F4672">
        <w:t xml:space="preserve">the DU to handle </w:t>
      </w:r>
      <w:r>
        <w:t>the mobility</w:t>
      </w:r>
      <w:r w:rsidR="002F4672">
        <w:t>, while in parallel the legacy measurement</w:t>
      </w:r>
      <w:r w:rsidR="009243C7">
        <w:t xml:space="preserve">s </w:t>
      </w:r>
      <w:r w:rsidR="002F4672">
        <w:t xml:space="preserve">reported </w:t>
      </w:r>
      <w:r w:rsidR="009243C7">
        <w:t xml:space="preserve">to the CU </w:t>
      </w:r>
      <w:r w:rsidR="002F4672">
        <w:t xml:space="preserve">at RRC </w:t>
      </w:r>
      <w:r w:rsidR="009243C7">
        <w:t xml:space="preserve">level, to be </w:t>
      </w:r>
      <w:r w:rsidR="002F4672">
        <w:t xml:space="preserve">used for </w:t>
      </w:r>
      <w:r w:rsidR="009243C7">
        <w:t>inter-DU or inter-CU handover cases</w:t>
      </w:r>
      <w:r w:rsidR="002F4672">
        <w:t xml:space="preserve">. </w:t>
      </w:r>
    </w:p>
    <w:p w14:paraId="718721CC" w14:textId="77777777" w:rsidR="009243C7" w:rsidRDefault="009243C7" w:rsidP="00E229AC"/>
    <w:p w14:paraId="1FF766C3" w14:textId="2DD4E70A" w:rsidR="002F4672" w:rsidRDefault="002F4672" w:rsidP="00E229AC">
      <w:r>
        <w:t>Even for the case of inter-DU mobility</w:t>
      </w:r>
      <w:r w:rsidR="009243C7">
        <w:t>,</w:t>
      </w:r>
      <w:r>
        <w:t xml:space="preserve"> it </w:t>
      </w:r>
      <w:r w:rsidR="009243C7">
        <w:t>may</w:t>
      </w:r>
      <w:r>
        <w:t xml:space="preserve"> be beneficial to report measurements at lower layers </w:t>
      </w:r>
      <w:r w:rsidR="009243C7">
        <w:t xml:space="preserve">than RRC </w:t>
      </w:r>
      <w:r w:rsidR="00822447">
        <w:t>to reduce the signalling overhead, and hence the latency. One option could be to en</w:t>
      </w:r>
      <w:r w:rsidR="00580327">
        <w:t>able L1/2 measurement reporting. C</w:t>
      </w:r>
      <w:r w:rsidR="0028512B">
        <w:t xml:space="preserve">urrently RRC defines measurement events (*including conditional triggers) and L3 filtering. </w:t>
      </w:r>
      <w:proofErr w:type="gramStart"/>
      <w:r w:rsidR="00F8293D">
        <w:t>In order to</w:t>
      </w:r>
      <w:proofErr w:type="gramEnd"/>
      <w:r w:rsidR="00F8293D">
        <w:t xml:space="preserve"> manage the mobility, the network needs to receive event triggered measurements based on stable measurements (i.e.</w:t>
      </w:r>
      <w:r w:rsidR="000F13CC">
        <w:t>,</w:t>
      </w:r>
      <w:r w:rsidR="00F8293D">
        <w:t xml:space="preserve"> </w:t>
      </w:r>
      <w:r w:rsidR="00580327">
        <w:t>after</w:t>
      </w:r>
      <w:r w:rsidR="00F8293D">
        <w:t xml:space="preserve"> L3 filtering)</w:t>
      </w:r>
      <w:r w:rsidR="007E2A99">
        <w:t xml:space="preserve">. For </w:t>
      </w:r>
      <w:proofErr w:type="spellStart"/>
      <w:r w:rsidR="007E2A99">
        <w:t>SpCell</w:t>
      </w:r>
      <w:proofErr w:type="spellEnd"/>
      <w:r w:rsidR="007E2A99">
        <w:t xml:space="preserve"> </w:t>
      </w:r>
      <w:proofErr w:type="gramStart"/>
      <w:r w:rsidR="007E2A99">
        <w:t>change in particular, due</w:t>
      </w:r>
      <w:proofErr w:type="gramEnd"/>
      <w:r w:rsidR="007E2A99">
        <w:t xml:space="preserve"> to the amount of reconfiguration needed (including security</w:t>
      </w:r>
      <w:r w:rsidR="00D24EE7">
        <w:t>, RLC/MAC reset, etc)</w:t>
      </w:r>
      <w:r w:rsidR="007E2A99">
        <w:t>, it’s important not to trigger the cell change too early</w:t>
      </w:r>
      <w:r w:rsidR="001C6122">
        <w:t xml:space="preserve"> based on non-filtered measurements</w:t>
      </w:r>
      <w:r w:rsidR="007E2A99">
        <w:t>, risking a ping-pong</w:t>
      </w:r>
      <w:r w:rsidR="00D24EE7">
        <w:t xml:space="preserve"> and frequent reconfigurations. Since we already have the majority of functionality in RRC</w:t>
      </w:r>
      <w:r w:rsidR="001C6122">
        <w:t>,</w:t>
      </w:r>
      <w:r w:rsidR="00D24EE7">
        <w:t xml:space="preserve"> we would propose to keep using this, potentially introducing new measurement event types that can be used to manage </w:t>
      </w:r>
      <w:proofErr w:type="spellStart"/>
      <w:r w:rsidR="00D24EE7">
        <w:t>PCell</w:t>
      </w:r>
      <w:proofErr w:type="spellEnd"/>
      <w:r w:rsidR="00D24EE7">
        <w:t xml:space="preserve"> change amongst candidate cells.</w:t>
      </w:r>
    </w:p>
    <w:p w14:paraId="66B31F27" w14:textId="6E96BEDC" w:rsidR="00ED117C" w:rsidRDefault="00ED117C" w:rsidP="00E229AC"/>
    <w:p w14:paraId="2824E121" w14:textId="3F1B3840" w:rsidR="00570A68" w:rsidRDefault="00570A68" w:rsidP="00E229AC">
      <w:r>
        <w:t xml:space="preserve">One option for improving signalling efficiency would be to report measurements in a similar way as MAC CE PHR report. This way, the </w:t>
      </w:r>
      <w:r w:rsidR="007B45F6">
        <w:t xml:space="preserve">RRC based measurements (events, filtering, etc) can be re-used and a more efficient signalling mechanism can provide some latency improvement without compromising too much on reliability. </w:t>
      </w:r>
    </w:p>
    <w:p w14:paraId="67E70BC0" w14:textId="77777777" w:rsidR="007B45F6" w:rsidRPr="007B45F6" w:rsidRDefault="007B45F6" w:rsidP="00E229AC">
      <w:pPr>
        <w:rPr>
          <w:b/>
          <w:bCs/>
        </w:rPr>
      </w:pPr>
    </w:p>
    <w:p w14:paraId="7B0563A2" w14:textId="45C8A619" w:rsidR="00764C4B" w:rsidRPr="007B45F6" w:rsidRDefault="00764C4B" w:rsidP="00764C4B">
      <w:pPr>
        <w:rPr>
          <w:b/>
          <w:bCs/>
        </w:rPr>
      </w:pPr>
      <w:r w:rsidRPr="007B45F6">
        <w:rPr>
          <w:b/>
          <w:bCs/>
        </w:rPr>
        <w:t xml:space="preserve">Proposal </w:t>
      </w:r>
      <w:r>
        <w:rPr>
          <w:b/>
          <w:bCs/>
        </w:rPr>
        <w:t>3</w:t>
      </w:r>
      <w:r w:rsidRPr="007B45F6">
        <w:rPr>
          <w:b/>
          <w:bCs/>
        </w:rPr>
        <w:t>: Measurement evaluation, events</w:t>
      </w:r>
      <w:r w:rsidR="00B02A77">
        <w:rPr>
          <w:b/>
          <w:bCs/>
        </w:rPr>
        <w:t>,</w:t>
      </w:r>
      <w:r w:rsidRPr="007B45F6">
        <w:rPr>
          <w:b/>
          <w:bCs/>
        </w:rPr>
        <w:t xml:space="preserve"> and reporting as defined in RRC should be the baseline, and optimised signalling e.g.</w:t>
      </w:r>
      <w:r w:rsidR="001C6122">
        <w:rPr>
          <w:b/>
          <w:bCs/>
        </w:rPr>
        <w:t>,</w:t>
      </w:r>
      <w:r w:rsidRPr="007B45F6">
        <w:rPr>
          <w:b/>
          <w:bCs/>
        </w:rPr>
        <w:t xml:space="preserve"> </w:t>
      </w:r>
      <w:r w:rsidR="001C6122">
        <w:rPr>
          <w:b/>
          <w:bCs/>
        </w:rPr>
        <w:t xml:space="preserve">measurement reporting </w:t>
      </w:r>
      <w:r>
        <w:rPr>
          <w:b/>
          <w:bCs/>
        </w:rPr>
        <w:t>using</w:t>
      </w:r>
      <w:r w:rsidRPr="007B45F6">
        <w:rPr>
          <w:b/>
          <w:bCs/>
        </w:rPr>
        <w:t xml:space="preserve"> MAC CE</w:t>
      </w:r>
      <w:r w:rsidR="001C6122">
        <w:rPr>
          <w:b/>
          <w:bCs/>
        </w:rPr>
        <w:t>,</w:t>
      </w:r>
      <w:r>
        <w:rPr>
          <w:b/>
          <w:bCs/>
        </w:rPr>
        <w:t xml:space="preserve"> </w:t>
      </w:r>
      <w:r w:rsidRPr="007B45F6">
        <w:rPr>
          <w:b/>
          <w:bCs/>
        </w:rPr>
        <w:t xml:space="preserve">should </w:t>
      </w:r>
      <w:r>
        <w:rPr>
          <w:b/>
          <w:bCs/>
        </w:rPr>
        <w:t xml:space="preserve">be </w:t>
      </w:r>
      <w:r w:rsidRPr="007B45F6">
        <w:rPr>
          <w:b/>
          <w:bCs/>
        </w:rPr>
        <w:t>investigate</w:t>
      </w:r>
      <w:r>
        <w:rPr>
          <w:b/>
          <w:bCs/>
        </w:rPr>
        <w:t>d</w:t>
      </w:r>
      <w:r w:rsidRPr="007B45F6">
        <w:rPr>
          <w:b/>
          <w:bCs/>
        </w:rPr>
        <w:t>.</w:t>
      </w:r>
    </w:p>
    <w:p w14:paraId="40E0C8B5" w14:textId="2379DE95" w:rsidR="004413AE" w:rsidRDefault="004413AE" w:rsidP="00E229AC"/>
    <w:p w14:paraId="155CB2A1" w14:textId="195F5B56" w:rsidR="00114B5E" w:rsidRDefault="00114B5E" w:rsidP="00E229AC">
      <w:r>
        <w:t>In addition to investigating a more efficient mechanism for measurement reporting</w:t>
      </w:r>
      <w:r w:rsidR="00580327">
        <w:t xml:space="preserve"> at L1/2</w:t>
      </w:r>
      <w:r>
        <w:t>, new events may need to be considered for</w:t>
      </w:r>
      <w:r w:rsidR="00244BE7">
        <w:t xml:space="preserve"> managing the serving cells. For example, no event exists currently for comparison of serving cells</w:t>
      </w:r>
      <w:r w:rsidR="00B02A77">
        <w:t>. To support a</w:t>
      </w:r>
      <w:r w:rsidR="00244BE7">
        <w:t xml:space="preserve"> role switch between </w:t>
      </w:r>
      <w:r w:rsidR="001C6122">
        <w:t xml:space="preserve">an </w:t>
      </w:r>
      <w:proofErr w:type="spellStart"/>
      <w:r w:rsidR="00244BE7">
        <w:t>SCell</w:t>
      </w:r>
      <w:proofErr w:type="spellEnd"/>
      <w:r w:rsidR="00244BE7">
        <w:t xml:space="preserve"> and </w:t>
      </w:r>
      <w:proofErr w:type="spellStart"/>
      <w:r w:rsidR="00244BE7">
        <w:t>SpCell</w:t>
      </w:r>
      <w:proofErr w:type="spellEnd"/>
      <w:r w:rsidR="00B02A77">
        <w:t>, a</w:t>
      </w:r>
      <w:r w:rsidR="00244BE7">
        <w:t xml:space="preserve"> new event may </w:t>
      </w:r>
      <w:r w:rsidR="001C6122">
        <w:t xml:space="preserve">need to be defined that can be triggered based on the comparison of an </w:t>
      </w:r>
      <w:proofErr w:type="spellStart"/>
      <w:r w:rsidR="001C6122">
        <w:t>SCell</w:t>
      </w:r>
      <w:proofErr w:type="spellEnd"/>
      <w:r w:rsidR="001C6122">
        <w:t xml:space="preserve"> and an </w:t>
      </w:r>
      <w:proofErr w:type="spellStart"/>
      <w:r w:rsidR="001C6122">
        <w:t>SpCell</w:t>
      </w:r>
      <w:proofErr w:type="spellEnd"/>
      <w:r w:rsidR="00B02A77">
        <w:t xml:space="preserve">. </w:t>
      </w:r>
      <w:r w:rsidR="008D60AF">
        <w:t xml:space="preserve">New events might also be needed for candidate set management, </w:t>
      </w:r>
      <w:r w:rsidR="002C465A">
        <w:t xml:space="preserve">e.g., </w:t>
      </w:r>
      <w:r w:rsidR="00B02A77">
        <w:t xml:space="preserve">for </w:t>
      </w:r>
      <w:r w:rsidR="008D60AF">
        <w:t>adding or removing cells to the candidate set</w:t>
      </w:r>
      <w:r w:rsidR="00B02A77">
        <w:t xml:space="preserve">. </w:t>
      </w:r>
    </w:p>
    <w:p w14:paraId="4451272B" w14:textId="785876AF" w:rsidR="009A1D31" w:rsidRDefault="009A1D31" w:rsidP="00E229AC"/>
    <w:p w14:paraId="74CDFE26" w14:textId="7920FA5B" w:rsidR="009A1D31" w:rsidRPr="008311C8" w:rsidRDefault="009A1D31" w:rsidP="00E229AC">
      <w:pPr>
        <w:rPr>
          <w:b/>
          <w:bCs/>
        </w:rPr>
      </w:pPr>
      <w:r w:rsidRPr="008311C8">
        <w:rPr>
          <w:b/>
          <w:bCs/>
        </w:rPr>
        <w:t xml:space="preserve">Proposal </w:t>
      </w:r>
      <w:r w:rsidR="008311C8">
        <w:rPr>
          <w:b/>
          <w:bCs/>
        </w:rPr>
        <w:t>4</w:t>
      </w:r>
      <w:r w:rsidRPr="008311C8">
        <w:rPr>
          <w:b/>
          <w:bCs/>
        </w:rPr>
        <w:t xml:space="preserve">: </w:t>
      </w:r>
      <w:r w:rsidR="002C465A">
        <w:rPr>
          <w:b/>
          <w:bCs/>
        </w:rPr>
        <w:t xml:space="preserve">New </w:t>
      </w:r>
      <w:r w:rsidR="00AC7C14" w:rsidRPr="008311C8">
        <w:rPr>
          <w:b/>
          <w:bCs/>
        </w:rPr>
        <w:t>measurement events</w:t>
      </w:r>
      <w:r w:rsidR="002C465A">
        <w:rPr>
          <w:b/>
          <w:bCs/>
        </w:rPr>
        <w:t xml:space="preserve"> (e.g., that compare signal levels of serving cells)</w:t>
      </w:r>
      <w:r w:rsidR="00AC7C14" w:rsidRPr="008311C8">
        <w:rPr>
          <w:b/>
          <w:bCs/>
        </w:rPr>
        <w:t xml:space="preserve"> are needed to support L1/2 triggered handover, and candidate cell management.</w:t>
      </w:r>
    </w:p>
    <w:p w14:paraId="0353FAF0" w14:textId="68260883" w:rsidR="004413AE" w:rsidRPr="00C9323F" w:rsidRDefault="004413AE" w:rsidP="00E229AC"/>
    <w:p w14:paraId="44AFC5B7" w14:textId="77777777" w:rsidR="00D06DC3" w:rsidRPr="003562DD" w:rsidRDefault="00D06DC3" w:rsidP="00D06DC3">
      <w:pPr>
        <w:rPr>
          <w:b/>
          <w:bCs/>
          <w:u w:val="single"/>
        </w:rPr>
      </w:pPr>
      <w:bookmarkStart w:id="0" w:name="_Hlk110871457"/>
      <w:r>
        <w:rPr>
          <w:b/>
          <w:bCs/>
          <w:u w:val="single"/>
        </w:rPr>
        <w:t>Trigger</w:t>
      </w:r>
      <w:r w:rsidRPr="003562DD">
        <w:rPr>
          <w:b/>
          <w:bCs/>
          <w:u w:val="single"/>
        </w:rPr>
        <w:t>:</w:t>
      </w:r>
    </w:p>
    <w:p w14:paraId="2640E52F" w14:textId="77777777" w:rsidR="00D06DC3" w:rsidRDefault="00D06DC3" w:rsidP="00D06DC3"/>
    <w:p w14:paraId="22A4FE8A" w14:textId="5E2502D9" w:rsidR="00D06DC3" w:rsidRDefault="00D06DC3" w:rsidP="00D06DC3">
      <w:r>
        <w:t xml:space="preserve">Once </w:t>
      </w:r>
      <w:r w:rsidR="002C465A">
        <w:t xml:space="preserve">the UE </w:t>
      </w:r>
      <w:r>
        <w:t>has been pre-configured with the candidate serving cell information</w:t>
      </w:r>
      <w:r w:rsidR="002C465A">
        <w:t xml:space="preserve"> at RRC level</w:t>
      </w:r>
      <w:r>
        <w:t>, there needs to be a way to activate</w:t>
      </w:r>
      <w:r w:rsidR="00AD1964">
        <w:t xml:space="preserve"> </w:t>
      </w:r>
      <w:r w:rsidR="002C465A">
        <w:t xml:space="preserve">a particular </w:t>
      </w:r>
      <w:r w:rsidR="00AD1964">
        <w:t>RRC configuration</w:t>
      </w:r>
      <w:r>
        <w:t>. The main candidate options would be to use either L1 signalling</w:t>
      </w:r>
      <w:r w:rsidR="002C465A">
        <w:t xml:space="preserve"> (e.g., DCI)</w:t>
      </w:r>
      <w:r>
        <w:t xml:space="preserve"> </w:t>
      </w:r>
      <w:r>
        <w:lastRenderedPageBreak/>
        <w:t>or MAC CE. Since the current RRC reconfigurations are performed using signalling acknowledged at MAC, RLC, and RRC</w:t>
      </w:r>
      <w:r w:rsidR="002C465A">
        <w:t>,</w:t>
      </w:r>
      <w:r>
        <w:t xml:space="preserve"> we will lose some of the reliability provided. With MAC</w:t>
      </w:r>
      <w:r w:rsidR="002C465A">
        <w:t xml:space="preserve"> CE,</w:t>
      </w:r>
      <w:r>
        <w:t xml:space="preserve"> it is at least possible to use HARQ ACK/NACK and retransmissions, so it offers some advantage compared to L1 signalling alone. In addition, we already perform </w:t>
      </w:r>
      <w:proofErr w:type="spellStart"/>
      <w:r>
        <w:t>SCell</w:t>
      </w:r>
      <w:proofErr w:type="spellEnd"/>
      <w:r>
        <w:t xml:space="preserve"> activation/deactivation using MAC, a similar design could be considered for </w:t>
      </w:r>
      <w:proofErr w:type="spellStart"/>
      <w:r>
        <w:t>SpCell</w:t>
      </w:r>
      <w:proofErr w:type="spellEnd"/>
      <w:r>
        <w:t xml:space="preserve"> change. </w:t>
      </w:r>
      <w:proofErr w:type="gramStart"/>
      <w:r>
        <w:t>Similar to</w:t>
      </w:r>
      <w:proofErr w:type="gramEnd"/>
      <w:r>
        <w:t xml:space="preserve"> </w:t>
      </w:r>
      <w:proofErr w:type="spellStart"/>
      <w:r>
        <w:t>SCell</w:t>
      </w:r>
      <w:proofErr w:type="spellEnd"/>
      <w:r>
        <w:t xml:space="preserve"> activation/deactivation, the MAC CE could contain a bitmap referring to the indexes of cells in the candidate cell list, for example which cells to configure as serving cells, and which cell is the </w:t>
      </w:r>
      <w:proofErr w:type="spellStart"/>
      <w:r>
        <w:t>SpCell</w:t>
      </w:r>
      <w:proofErr w:type="spellEnd"/>
      <w:r>
        <w:t>. Further discussion is needed first, however, to decide exactly what information needs to be conveyed.</w:t>
      </w:r>
    </w:p>
    <w:p w14:paraId="2EC5AC08" w14:textId="77777777" w:rsidR="00D06DC3" w:rsidRDefault="00D06DC3" w:rsidP="00D06DC3"/>
    <w:p w14:paraId="706575B6" w14:textId="7534D80D" w:rsidR="00D06DC3" w:rsidRDefault="00D06DC3" w:rsidP="00D06DC3">
      <w:pPr>
        <w:rPr>
          <w:b/>
          <w:bCs/>
        </w:rPr>
      </w:pPr>
      <w:r>
        <w:rPr>
          <w:b/>
          <w:bCs/>
        </w:rPr>
        <w:t>Proposal 5</w:t>
      </w:r>
      <w:r w:rsidRPr="003562DD">
        <w:rPr>
          <w:b/>
          <w:bCs/>
        </w:rPr>
        <w:t>:</w:t>
      </w:r>
      <w:r>
        <w:rPr>
          <w:b/>
          <w:bCs/>
        </w:rPr>
        <w:t xml:space="preserve"> A new MAC CE </w:t>
      </w:r>
      <w:r w:rsidR="00C70CE6">
        <w:rPr>
          <w:b/>
          <w:bCs/>
        </w:rPr>
        <w:t xml:space="preserve">to be </w:t>
      </w:r>
      <w:r>
        <w:rPr>
          <w:b/>
          <w:bCs/>
        </w:rPr>
        <w:t xml:space="preserve">defined for </w:t>
      </w:r>
      <w:r w:rsidR="00C70CE6">
        <w:rPr>
          <w:b/>
          <w:bCs/>
        </w:rPr>
        <w:t xml:space="preserve">L1/L2 mobility indication (e.g., adding/removing a cell from the candidate set, changing the </w:t>
      </w:r>
      <w:proofErr w:type="spellStart"/>
      <w:r w:rsidR="00C70CE6">
        <w:rPr>
          <w:b/>
          <w:bCs/>
        </w:rPr>
        <w:t>SpCell</w:t>
      </w:r>
      <w:proofErr w:type="spellEnd"/>
      <w:r w:rsidR="00C70CE6">
        <w:rPr>
          <w:b/>
          <w:bCs/>
        </w:rPr>
        <w:t>, etc.,)</w:t>
      </w:r>
      <w:r>
        <w:rPr>
          <w:b/>
          <w:bCs/>
        </w:rPr>
        <w:t>.</w:t>
      </w:r>
    </w:p>
    <w:p w14:paraId="29D397A8" w14:textId="77777777" w:rsidR="004406A6" w:rsidRDefault="004406A6" w:rsidP="00E229AC"/>
    <w:p w14:paraId="4A67C11F" w14:textId="5ADE8811" w:rsidR="00A86E69" w:rsidRPr="00C9323F" w:rsidRDefault="006B0746" w:rsidP="00E229AC">
      <w:r w:rsidRPr="00C9323F">
        <w:t>Figure 2 below summarises the</w:t>
      </w:r>
      <w:r w:rsidR="00D3360D">
        <w:t xml:space="preserve"> basic</w:t>
      </w:r>
      <w:r w:rsidRPr="00C9323F">
        <w:t xml:space="preserve"> steps needed for handover preparation using pre-configured serving cells at RRC, </w:t>
      </w:r>
      <w:r w:rsidR="00C9323F" w:rsidRPr="00C9323F">
        <w:t>measurement reporting using MAC CE, and RRC reconfiguration activation using MAC CE.</w:t>
      </w:r>
    </w:p>
    <w:p w14:paraId="4E7D1955" w14:textId="369E9308" w:rsidR="00C9323F" w:rsidRPr="00C9323F" w:rsidRDefault="00C9323F" w:rsidP="00E229AC"/>
    <w:p w14:paraId="7C7B6EF2" w14:textId="1C8C965E" w:rsidR="00C9323F" w:rsidRDefault="004406A6" w:rsidP="00E229AC">
      <w:pPr>
        <w:rPr>
          <w:b/>
          <w:bCs/>
          <w:u w:val="single"/>
        </w:rPr>
      </w:pPr>
      <w:r w:rsidRPr="004406A6">
        <w:rPr>
          <w:b/>
          <w:bCs/>
          <w:noProof/>
          <w:u w:val="single"/>
        </w:rPr>
        <w:drawing>
          <wp:inline distT="0" distB="0" distL="0" distR="0" wp14:anchorId="58715842" wp14:editId="5379E57F">
            <wp:extent cx="6120765" cy="2481580"/>
            <wp:effectExtent l="0" t="0" r="0" b="0"/>
            <wp:docPr id="120" name="Picture 119" descr="Graphical user interface&#10;&#10;Description automatically generated">
              <a:extLst xmlns:a="http://schemas.openxmlformats.org/drawingml/2006/main">
                <a:ext uri="{FF2B5EF4-FFF2-40B4-BE49-F238E27FC236}">
                  <a16:creationId xmlns:a16="http://schemas.microsoft.com/office/drawing/2014/main" id="{9E67A5B8-4B21-BFEF-05CB-D8BF8391E1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19" descr="Graphical user interface&#10;&#10;Description automatically generated">
                      <a:extLst>
                        <a:ext uri="{FF2B5EF4-FFF2-40B4-BE49-F238E27FC236}">
                          <a16:creationId xmlns:a16="http://schemas.microsoft.com/office/drawing/2014/main" id="{9E67A5B8-4B21-BFEF-05CB-D8BF8391E1CB}"/>
                        </a:ext>
                      </a:extLst>
                    </pic:cNvPr>
                    <pic:cNvPicPr>
                      <a:picLocks noChangeAspect="1"/>
                    </pic:cNvPicPr>
                  </pic:nvPicPr>
                  <pic:blipFill>
                    <a:blip r:embed="rId10"/>
                    <a:stretch>
                      <a:fillRect/>
                    </a:stretch>
                  </pic:blipFill>
                  <pic:spPr>
                    <a:xfrm>
                      <a:off x="0" y="0"/>
                      <a:ext cx="6120765" cy="2481580"/>
                    </a:xfrm>
                    <a:prstGeom prst="rect">
                      <a:avLst/>
                    </a:prstGeom>
                  </pic:spPr>
                </pic:pic>
              </a:graphicData>
            </a:graphic>
          </wp:inline>
        </w:drawing>
      </w:r>
    </w:p>
    <w:p w14:paraId="149ED48D" w14:textId="4115B59B" w:rsidR="00C9323F" w:rsidRDefault="00C9323F" w:rsidP="00C9323F">
      <w:pPr>
        <w:jc w:val="center"/>
        <w:rPr>
          <w:b/>
          <w:bCs/>
          <w:u w:val="single"/>
        </w:rPr>
      </w:pPr>
      <w:r>
        <w:rPr>
          <w:b/>
          <w:bCs/>
          <w:u w:val="single"/>
        </w:rPr>
        <w:t xml:space="preserve">Figure 2: </w:t>
      </w:r>
      <w:r w:rsidR="00D3360D">
        <w:rPr>
          <w:b/>
          <w:bCs/>
          <w:u w:val="single"/>
        </w:rPr>
        <w:t xml:space="preserve">Baseline procedure for </w:t>
      </w:r>
      <w:r>
        <w:rPr>
          <w:b/>
          <w:bCs/>
          <w:u w:val="single"/>
        </w:rPr>
        <w:t>L2 activation of RRC pre-configured serving cells.</w:t>
      </w:r>
    </w:p>
    <w:p w14:paraId="03EAE097" w14:textId="77777777" w:rsidR="00C9323F" w:rsidRDefault="00C9323F" w:rsidP="00E229AC">
      <w:pPr>
        <w:rPr>
          <w:b/>
          <w:bCs/>
          <w:u w:val="single"/>
        </w:rPr>
      </w:pPr>
    </w:p>
    <w:p w14:paraId="42FED446" w14:textId="16422426" w:rsidR="002735BB" w:rsidRPr="00C55094" w:rsidRDefault="002735BB" w:rsidP="002735BB">
      <w:pPr>
        <w:pStyle w:val="Heading2"/>
      </w:pPr>
      <w:r w:rsidRPr="00C55094">
        <w:t>2.2</w:t>
      </w:r>
      <w:r w:rsidRPr="00C55094">
        <w:tab/>
      </w:r>
      <w:r w:rsidR="00C55094" w:rsidRPr="00C55094">
        <w:t>Pre synchronisation to the target cell(s)</w:t>
      </w:r>
      <w:r w:rsidRPr="00C55094">
        <w:t>.</w:t>
      </w:r>
    </w:p>
    <w:p w14:paraId="0922D91D" w14:textId="77777777" w:rsidR="004406A6" w:rsidRDefault="004406A6" w:rsidP="00E229AC"/>
    <w:p w14:paraId="37917FCB" w14:textId="2616D07D" w:rsidR="00A72DEC" w:rsidRDefault="004406A6" w:rsidP="00E229AC">
      <w:r w:rsidRPr="004406A6">
        <w:t xml:space="preserve">The baseline procedure shown in </w:t>
      </w:r>
      <w:r>
        <w:t xml:space="preserve">figure 2 can largely be defined in RAN2 without input from other groups, and it provides some latency improvement by performing the measurement reporting and RRC </w:t>
      </w:r>
      <w:r w:rsidR="006823D8">
        <w:t>reconfiguration trigger</w:t>
      </w:r>
      <w:r w:rsidR="002B5016">
        <w:t>ing</w:t>
      </w:r>
      <w:r w:rsidR="006823D8">
        <w:t xml:space="preserve"> using MAC instead of RRC signalling, while re-using as much as possible of the existing RRC procedures and measurement </w:t>
      </w:r>
      <w:r w:rsidR="002B5016">
        <w:t>configuration</w:t>
      </w:r>
      <w:r w:rsidR="006823D8">
        <w:t xml:space="preserve"> framework, which is important in terms of implementation impact, </w:t>
      </w:r>
      <w:r w:rsidR="00896A21">
        <w:t>co-existence with RRC reconfigurations, and of course</w:t>
      </w:r>
      <w:r w:rsidR="002B5016">
        <w:t>,</w:t>
      </w:r>
      <w:r w:rsidR="00896A21">
        <w:t xml:space="preserve"> in terms of mobility robustness.</w:t>
      </w:r>
      <w:r w:rsidR="00760AD7">
        <w:t xml:space="preserve"> This baseline procedure can also work in </w:t>
      </w:r>
      <w:r w:rsidR="003F649E">
        <w:t>synchronised and non-synchronised cases, for example</w:t>
      </w:r>
      <w:r w:rsidR="002B5016">
        <w:t>,</w:t>
      </w:r>
      <w:r w:rsidR="003F649E">
        <w:t xml:space="preserve"> the handover completion could simply use the existing approach, </w:t>
      </w:r>
      <w:proofErr w:type="gramStart"/>
      <w:r w:rsidR="003F649E">
        <w:t>i.e.</w:t>
      </w:r>
      <w:proofErr w:type="gramEnd"/>
      <w:r w:rsidR="003F649E">
        <w:t xml:space="preserve"> random access + handover complete. In fact, much of the handover latency is removed by optimising the first part of the procedure only</w:t>
      </w:r>
      <w:r w:rsidR="002B5016">
        <w:t>,</w:t>
      </w:r>
      <w:r w:rsidR="003F649E">
        <w:t xml:space="preserve"> i.e.</w:t>
      </w:r>
      <w:r w:rsidR="002B5016">
        <w:t>,</w:t>
      </w:r>
      <w:r w:rsidR="003F649E">
        <w:t xml:space="preserve"> instead of RRC measurement reporting and reconfiguration, to pre-configure and use MAC CE.</w:t>
      </w:r>
    </w:p>
    <w:p w14:paraId="3A3D41D0" w14:textId="5B1290A4" w:rsidR="00896A21" w:rsidRDefault="00896A21" w:rsidP="00E229AC"/>
    <w:p w14:paraId="7243D9BD" w14:textId="6311DF23" w:rsidR="00896A21" w:rsidRDefault="00896A21" w:rsidP="00E229AC">
      <w:r>
        <w:t xml:space="preserve">There are other improvements which could additionally be considered to further reduce latency of handover. In particular, </w:t>
      </w:r>
      <w:proofErr w:type="gramStart"/>
      <w:r>
        <w:t>in order to</w:t>
      </w:r>
      <w:proofErr w:type="gramEnd"/>
      <w:r>
        <w:t xml:space="preserve"> reduce the reconfiguration time itself</w:t>
      </w:r>
      <w:r w:rsidR="00D817A6">
        <w:t xml:space="preserve"> after receiving the </w:t>
      </w:r>
      <w:r w:rsidR="0075132B">
        <w:t>handover activation command</w:t>
      </w:r>
      <w:r>
        <w:t xml:space="preserve">, it may be beneficial to perform some of the synchronisation steps ahead of </w:t>
      </w:r>
      <w:proofErr w:type="spellStart"/>
      <w:r w:rsidR="002B5016">
        <w:t>SpC</w:t>
      </w:r>
      <w:r>
        <w:t>ell</w:t>
      </w:r>
      <w:proofErr w:type="spellEnd"/>
      <w:r>
        <w:t xml:space="preserve"> change. </w:t>
      </w:r>
      <w:r w:rsidR="00EB4330">
        <w:t>Additionally, if DL and UL synchronisation can be performed before the cell change</w:t>
      </w:r>
      <w:r w:rsidR="002B5016">
        <w:t>,</w:t>
      </w:r>
      <w:r w:rsidR="00EB4330">
        <w:t xml:space="preserve"> </w:t>
      </w:r>
      <w:r w:rsidR="000A7241">
        <w:t xml:space="preserve">then it may even be possible to reduce </w:t>
      </w:r>
      <w:r w:rsidR="000A7241" w:rsidRPr="00C43E97">
        <w:rPr>
          <w:noProof/>
        </w:rPr>
        <w:t>T</w:t>
      </w:r>
      <w:r w:rsidR="000A7241" w:rsidRPr="00C43E97">
        <w:rPr>
          <w:noProof/>
          <w:vertAlign w:val="subscript"/>
        </w:rPr>
        <w:t>interrupt</w:t>
      </w:r>
      <w:r w:rsidR="000A7241">
        <w:t xml:space="preserve"> </w:t>
      </w:r>
      <w:r w:rsidR="00674AD0">
        <w:t xml:space="preserve">close </w:t>
      </w:r>
      <w:r w:rsidR="000A7241">
        <w:t>to 0</w:t>
      </w:r>
      <w:r w:rsidR="002B5016">
        <w:t>.</w:t>
      </w:r>
      <w:r w:rsidR="000A7241">
        <w:t xml:space="preserve"> </w:t>
      </w:r>
      <w:r w:rsidR="002B5016">
        <w:t>T</w:t>
      </w:r>
      <w:r w:rsidR="000A7241">
        <w:t xml:space="preserve">here will still be some </w:t>
      </w:r>
      <w:r w:rsidR="008D5C5B">
        <w:t xml:space="preserve">processing delay, but if the RRC reconfiguration to setup new serving cells, as well as the synchronisation steps, are performed ahead of the </w:t>
      </w:r>
      <w:proofErr w:type="spellStart"/>
      <w:r w:rsidR="00B70396">
        <w:t>SpC</w:t>
      </w:r>
      <w:r w:rsidR="008D5C5B">
        <w:t>ell</w:t>
      </w:r>
      <w:proofErr w:type="spellEnd"/>
      <w:r w:rsidR="008D5C5B">
        <w:t xml:space="preserve"> switch and the release of old serving cells</w:t>
      </w:r>
      <w:r w:rsidR="002B5016">
        <w:t>,</w:t>
      </w:r>
      <w:r w:rsidR="00B70396">
        <w:t xml:space="preserve"> then the handover could be seamless. However, further analysis is needed to determine whether the additional complexity justifies optimisation of every step</w:t>
      </w:r>
      <w:r w:rsidR="008F5C49">
        <w:t>, and it should be noted that this may not be possible in every case</w:t>
      </w:r>
    </w:p>
    <w:p w14:paraId="4F75ED15" w14:textId="7A15111F" w:rsidR="008F5C49" w:rsidRDefault="008F5C49" w:rsidP="00E229AC"/>
    <w:p w14:paraId="49D31E81" w14:textId="5F935445" w:rsidR="008F5C49" w:rsidRDefault="008F5C49" w:rsidP="008F5C49">
      <w:pPr>
        <w:rPr>
          <w:b/>
          <w:bCs/>
        </w:rPr>
      </w:pPr>
      <w:r>
        <w:rPr>
          <w:b/>
          <w:bCs/>
        </w:rPr>
        <w:t>Proposal 5</w:t>
      </w:r>
      <w:r w:rsidRPr="003562DD">
        <w:rPr>
          <w:b/>
          <w:bCs/>
        </w:rPr>
        <w:t>:</w:t>
      </w:r>
      <w:r>
        <w:rPr>
          <w:b/>
          <w:bCs/>
        </w:rPr>
        <w:t xml:space="preserve"> UL and DL synchronization </w:t>
      </w:r>
      <w:r w:rsidR="002B5016">
        <w:rPr>
          <w:b/>
          <w:bCs/>
        </w:rPr>
        <w:t xml:space="preserve">to a </w:t>
      </w:r>
      <w:r w:rsidR="00D01D5D">
        <w:rPr>
          <w:b/>
          <w:bCs/>
        </w:rPr>
        <w:t xml:space="preserve">target </w:t>
      </w:r>
      <w:r w:rsidR="002B5016">
        <w:rPr>
          <w:b/>
          <w:bCs/>
        </w:rPr>
        <w:t xml:space="preserve">cell can be performed </w:t>
      </w:r>
      <w:r>
        <w:rPr>
          <w:b/>
          <w:bCs/>
        </w:rPr>
        <w:t xml:space="preserve">before </w:t>
      </w:r>
      <w:r w:rsidR="002B5016">
        <w:rPr>
          <w:b/>
          <w:bCs/>
        </w:rPr>
        <w:t xml:space="preserve">the cell becomes </w:t>
      </w:r>
      <w:r>
        <w:rPr>
          <w:b/>
          <w:bCs/>
        </w:rPr>
        <w:t xml:space="preserve">the new </w:t>
      </w:r>
      <w:proofErr w:type="spellStart"/>
      <w:r>
        <w:rPr>
          <w:b/>
          <w:bCs/>
        </w:rPr>
        <w:t>SpCell</w:t>
      </w:r>
      <w:proofErr w:type="spellEnd"/>
      <w:r>
        <w:rPr>
          <w:b/>
          <w:bCs/>
        </w:rPr>
        <w:t>.</w:t>
      </w:r>
    </w:p>
    <w:p w14:paraId="153ED1F1" w14:textId="735001CC" w:rsidR="008F5C49" w:rsidRDefault="008F5C49" w:rsidP="00E229AC"/>
    <w:p w14:paraId="5F61E92A" w14:textId="0F16C410" w:rsidR="001379CF" w:rsidRDefault="00094DBF" w:rsidP="00E229AC">
      <w:r>
        <w:t xml:space="preserve">Performing UL and/or DL synchronisation to the target cell before </w:t>
      </w:r>
      <w:r w:rsidR="00D01D5D">
        <w:t xml:space="preserve">it becomes an </w:t>
      </w:r>
      <w:proofErr w:type="spellStart"/>
      <w:r w:rsidR="00D01D5D">
        <w:t>SpCell</w:t>
      </w:r>
      <w:proofErr w:type="spellEnd"/>
      <w:r w:rsidR="001379CF">
        <w:t xml:space="preserve"> not only reduces the latency by minimising some of the contributing factors to </w:t>
      </w:r>
      <w:r w:rsidR="001379CF" w:rsidRPr="00C43E97">
        <w:rPr>
          <w:noProof/>
        </w:rPr>
        <w:t>T</w:t>
      </w:r>
      <w:r w:rsidR="001379CF" w:rsidRPr="00C43E97">
        <w:rPr>
          <w:noProof/>
          <w:vertAlign w:val="subscript"/>
        </w:rPr>
        <w:t>interrupt</w:t>
      </w:r>
      <w:r w:rsidR="001379CF">
        <w:t xml:space="preserve">, but could also help with robustness, depending on the design, by potentially reducing the handover failure and RLF for both source and target. For example, if the UE starts performing RLM and BFD on a target cell before it becomes a </w:t>
      </w:r>
      <w:proofErr w:type="spellStart"/>
      <w:r w:rsidR="001379CF">
        <w:t>SpCell</w:t>
      </w:r>
      <w:proofErr w:type="spellEnd"/>
      <w:r w:rsidR="001379CF">
        <w:t xml:space="preserve">, and the cell switch time is minimised, then some failures at </w:t>
      </w:r>
      <w:r w:rsidR="001379CF">
        <w:lastRenderedPageBreak/>
        <w:t xml:space="preserve">the target can be avoided. </w:t>
      </w:r>
      <w:r w:rsidR="00B369D5">
        <w:t xml:space="preserve">Alternatively, since it is already possible in Release 17 to activate beam management and the related L1 measurements on </w:t>
      </w:r>
      <w:r w:rsidR="00D01D5D">
        <w:t xml:space="preserve">cell other than an </w:t>
      </w:r>
      <w:proofErr w:type="spellStart"/>
      <w:r w:rsidR="00D01D5D">
        <w:t>SpCell</w:t>
      </w:r>
      <w:proofErr w:type="spellEnd"/>
      <w:r w:rsidR="00B369D5">
        <w:t xml:space="preserve"> (i.e.</w:t>
      </w:r>
      <w:r w:rsidR="00D01D5D">
        <w:t>,</w:t>
      </w:r>
      <w:r w:rsidR="00B369D5">
        <w:t xml:space="preserve"> inter-cell) it may be possible to largely re-use this functionality and </w:t>
      </w:r>
      <w:r>
        <w:t xml:space="preserve">enable inter-cell beam managements </w:t>
      </w:r>
      <w:r w:rsidR="00B369D5">
        <w:t xml:space="preserve">before t </w:t>
      </w:r>
      <w:proofErr w:type="spellStart"/>
      <w:r w:rsidR="00B369D5">
        <w:t>SpCell</w:t>
      </w:r>
      <w:proofErr w:type="spellEnd"/>
      <w:r w:rsidR="00B369D5">
        <w:t xml:space="preserve"> </w:t>
      </w:r>
      <w:r w:rsidR="00D01D5D">
        <w:t xml:space="preserve">change </w:t>
      </w:r>
      <w:r w:rsidR="00B369D5">
        <w:t>is triggered.</w:t>
      </w:r>
    </w:p>
    <w:p w14:paraId="7194189D" w14:textId="5981411C" w:rsidR="00BB3BA7" w:rsidRDefault="00BB3BA7" w:rsidP="00E229AC"/>
    <w:p w14:paraId="4EABB599" w14:textId="7C74BF83" w:rsidR="00BB3BA7" w:rsidRDefault="00BB3BA7" w:rsidP="00E229AC">
      <w:r>
        <w:t>In addition, it might be possible to further improve the handover reliability by starting PDCCH monitoring on the target cell</w:t>
      </w:r>
      <w:r w:rsidR="00795C42">
        <w:t xml:space="preserve"> before the handover. For example, if </w:t>
      </w:r>
      <w:r w:rsidR="00D01D5D">
        <w:t xml:space="preserve">the </w:t>
      </w:r>
      <w:r w:rsidR="00795C42">
        <w:t xml:space="preserve">UE starts monitoring PDCCH on the target cell before stopping the source cell PDCCH monitoring, the handover (or RRC Reconfiguration trigger) </w:t>
      </w:r>
      <w:r w:rsidR="00D456EA">
        <w:t xml:space="preserve">could be received on either the source or the target – this can help to minimise HO failures due to RLF on the source. </w:t>
      </w:r>
    </w:p>
    <w:p w14:paraId="14D2216E" w14:textId="4FE8D0D0" w:rsidR="001379CF" w:rsidRDefault="001379CF" w:rsidP="00E229AC"/>
    <w:p w14:paraId="319F98B3" w14:textId="149A3A32" w:rsidR="00B369D5" w:rsidRPr="002115B7" w:rsidRDefault="00B369D5" w:rsidP="00E229AC">
      <w:pPr>
        <w:rPr>
          <w:b/>
          <w:bCs/>
        </w:rPr>
      </w:pPr>
      <w:r w:rsidRPr="002115B7">
        <w:rPr>
          <w:b/>
          <w:bCs/>
        </w:rPr>
        <w:t xml:space="preserve">Proposal 6: </w:t>
      </w:r>
      <w:r w:rsidR="00326C74">
        <w:rPr>
          <w:b/>
          <w:bCs/>
        </w:rPr>
        <w:t xml:space="preserve">UE can be configured to perform </w:t>
      </w:r>
      <w:r w:rsidR="002115B7">
        <w:rPr>
          <w:b/>
          <w:bCs/>
        </w:rPr>
        <w:t xml:space="preserve">closer </w:t>
      </w:r>
      <w:r w:rsidR="00983D92" w:rsidRPr="002115B7">
        <w:rPr>
          <w:b/>
          <w:bCs/>
        </w:rPr>
        <w:t xml:space="preserve">monitoring of </w:t>
      </w:r>
      <w:r w:rsidR="00326C74">
        <w:rPr>
          <w:b/>
          <w:bCs/>
        </w:rPr>
        <w:t>a</w:t>
      </w:r>
      <w:r w:rsidR="00326C74" w:rsidRPr="002115B7">
        <w:rPr>
          <w:b/>
          <w:bCs/>
        </w:rPr>
        <w:t xml:space="preserve"> </w:t>
      </w:r>
      <w:r w:rsidR="00983D92" w:rsidRPr="002115B7">
        <w:rPr>
          <w:b/>
          <w:bCs/>
        </w:rPr>
        <w:t xml:space="preserve">target cell before it becomes </w:t>
      </w:r>
      <w:r w:rsidR="00326C74">
        <w:rPr>
          <w:b/>
          <w:bCs/>
        </w:rPr>
        <w:t xml:space="preserve">an </w:t>
      </w:r>
      <w:proofErr w:type="spellStart"/>
      <w:r w:rsidR="00983D92" w:rsidRPr="002115B7">
        <w:rPr>
          <w:b/>
          <w:bCs/>
        </w:rPr>
        <w:t>SpCell</w:t>
      </w:r>
      <w:proofErr w:type="spellEnd"/>
      <w:r w:rsidR="00983D92" w:rsidRPr="002115B7">
        <w:rPr>
          <w:b/>
          <w:bCs/>
        </w:rPr>
        <w:t xml:space="preserve">. </w:t>
      </w:r>
      <w:r w:rsidR="002115B7" w:rsidRPr="002115B7">
        <w:rPr>
          <w:b/>
          <w:bCs/>
        </w:rPr>
        <w:t xml:space="preserve">At least </w:t>
      </w:r>
      <w:r w:rsidR="00326C74">
        <w:rPr>
          <w:b/>
          <w:bCs/>
        </w:rPr>
        <w:t xml:space="preserve">the following should be supported on a target cell: </w:t>
      </w:r>
      <w:r w:rsidR="003F3F26" w:rsidRPr="002115B7">
        <w:rPr>
          <w:b/>
          <w:bCs/>
        </w:rPr>
        <w:t xml:space="preserve">RLM, BFD, CSI measurements, </w:t>
      </w:r>
      <w:r w:rsidR="002115B7" w:rsidRPr="002115B7">
        <w:rPr>
          <w:b/>
          <w:bCs/>
        </w:rPr>
        <w:t>inter-cell beam management</w:t>
      </w:r>
      <w:r w:rsidR="00326C74">
        <w:rPr>
          <w:b/>
          <w:bCs/>
        </w:rPr>
        <w:t>, and</w:t>
      </w:r>
      <w:r w:rsidR="002115B7" w:rsidRPr="002115B7">
        <w:rPr>
          <w:b/>
          <w:bCs/>
        </w:rPr>
        <w:t xml:space="preserve"> PDCCH monitoring</w:t>
      </w:r>
      <w:r w:rsidR="00326C74">
        <w:rPr>
          <w:b/>
          <w:bCs/>
        </w:rPr>
        <w:t>.</w:t>
      </w:r>
    </w:p>
    <w:p w14:paraId="3701F581" w14:textId="77777777" w:rsidR="00896A21" w:rsidRPr="004406A6" w:rsidRDefault="00896A21" w:rsidP="00E229AC"/>
    <w:p w14:paraId="1091E1C0" w14:textId="77777777" w:rsidR="005D5E68" w:rsidRPr="007C6936" w:rsidRDefault="005D5E68" w:rsidP="00E229AC"/>
    <w:p w14:paraId="320E90AE" w14:textId="6D19742B" w:rsidR="0008007A" w:rsidRPr="007C6936" w:rsidRDefault="005B2CC8" w:rsidP="00E229AC">
      <w:r w:rsidRPr="007C6936">
        <w:t xml:space="preserve">Figure 3 below provides an overview of the overall procedure, should we choose to optimise </w:t>
      </w:r>
      <w:proofErr w:type="gramStart"/>
      <w:r w:rsidRPr="007C6936">
        <w:t>all of</w:t>
      </w:r>
      <w:proofErr w:type="gramEnd"/>
      <w:r w:rsidRPr="007C6936">
        <w:t xml:space="preserve"> the steps as desc</w:t>
      </w:r>
      <w:r w:rsidR="0066317E" w:rsidRPr="007C6936">
        <w:t>ribed in this document</w:t>
      </w:r>
      <w:r w:rsidR="00C551CE">
        <w:t>, and assuming that MAC is used for the control signalling.</w:t>
      </w:r>
    </w:p>
    <w:p w14:paraId="46B13C24" w14:textId="77777777" w:rsidR="0066317E" w:rsidRPr="008D1D74" w:rsidRDefault="0066317E" w:rsidP="00E229AC">
      <w:pPr>
        <w:rPr>
          <w:b/>
          <w:bCs/>
        </w:rPr>
      </w:pPr>
    </w:p>
    <w:bookmarkEnd w:id="0"/>
    <w:p w14:paraId="58DD57C2" w14:textId="143DD378" w:rsidR="0008007A" w:rsidRDefault="007C6936" w:rsidP="00E229AC">
      <w:r>
        <w:rPr>
          <w:noProof/>
        </w:rPr>
        <w:lastRenderedPageBreak/>
        <w:drawing>
          <wp:inline distT="0" distB="0" distL="0" distR="0" wp14:anchorId="4FF33354" wp14:editId="3AB02E70">
            <wp:extent cx="6437630" cy="66389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37630" cy="6638925"/>
                    </a:xfrm>
                    <a:prstGeom prst="rect">
                      <a:avLst/>
                    </a:prstGeom>
                    <a:noFill/>
                  </pic:spPr>
                </pic:pic>
              </a:graphicData>
            </a:graphic>
          </wp:inline>
        </w:drawing>
      </w:r>
    </w:p>
    <w:p w14:paraId="78FF6807" w14:textId="7FEB55F8" w:rsidR="007C6936" w:rsidRDefault="007C6936" w:rsidP="007C6936">
      <w:pPr>
        <w:jc w:val="center"/>
        <w:rPr>
          <w:b/>
          <w:bCs/>
          <w:u w:val="single"/>
        </w:rPr>
      </w:pPr>
      <w:r>
        <w:rPr>
          <w:b/>
          <w:bCs/>
          <w:u w:val="single"/>
        </w:rPr>
        <w:t>Figure 3: Overall procedure for L2 triggered serving cell</w:t>
      </w:r>
      <w:r w:rsidR="006E18F8">
        <w:rPr>
          <w:b/>
          <w:bCs/>
          <w:u w:val="single"/>
        </w:rPr>
        <w:t xml:space="preserve"> change</w:t>
      </w:r>
      <w:r>
        <w:rPr>
          <w:b/>
          <w:bCs/>
          <w:u w:val="single"/>
        </w:rPr>
        <w:t>.</w:t>
      </w:r>
    </w:p>
    <w:p w14:paraId="22E652B3" w14:textId="77777777" w:rsidR="007C6936" w:rsidRPr="007C6936" w:rsidRDefault="007C6936" w:rsidP="00E229AC">
      <w:pPr>
        <w:rPr>
          <w:b/>
          <w:bCs/>
        </w:rPr>
      </w:pPr>
    </w:p>
    <w:p w14:paraId="0EC22F6F" w14:textId="18D08413" w:rsidR="008F4846" w:rsidRPr="00B12753"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507C5001" w14:textId="17EFF928" w:rsidR="004B1631" w:rsidRPr="004B1631" w:rsidRDefault="004B1631" w:rsidP="000F02CA">
      <w:r w:rsidRPr="004B1631">
        <w:t xml:space="preserve">In this paper we provide the following proposals regarding </w:t>
      </w:r>
      <w:r w:rsidR="001A12FE">
        <w:t>potential solution directions</w:t>
      </w:r>
      <w:r w:rsidRPr="004B1631">
        <w:t xml:space="preserve"> to consider in the design of L1/2 triggered handover</w:t>
      </w:r>
      <w:r>
        <w:t xml:space="preserve"> in Release-18.</w:t>
      </w:r>
    </w:p>
    <w:p w14:paraId="4D9ED8A3" w14:textId="289AA66C" w:rsidR="000F02CA" w:rsidRPr="008D1D74" w:rsidRDefault="000F02CA" w:rsidP="001A12FE">
      <w:pPr>
        <w:rPr>
          <w:b/>
          <w:bCs/>
        </w:rPr>
      </w:pPr>
    </w:p>
    <w:p w14:paraId="5A3B7C3E" w14:textId="77777777" w:rsidR="00C42645" w:rsidRDefault="00C42645" w:rsidP="00C42645"/>
    <w:p w14:paraId="371A4DF6" w14:textId="77777777" w:rsidR="00C42645" w:rsidRDefault="00C42645" w:rsidP="00C42645">
      <w:pPr>
        <w:rPr>
          <w:b/>
          <w:bCs/>
        </w:rPr>
      </w:pPr>
      <w:r w:rsidRPr="00D92122">
        <w:rPr>
          <w:b/>
          <w:bCs/>
        </w:rPr>
        <w:t>Proposal 1</w:t>
      </w:r>
      <w:r>
        <w:rPr>
          <w:b/>
          <w:bCs/>
        </w:rPr>
        <w:t>a</w:t>
      </w:r>
      <w:r w:rsidRPr="00D92122">
        <w:rPr>
          <w:b/>
          <w:bCs/>
        </w:rPr>
        <w:t xml:space="preserve">: </w:t>
      </w:r>
      <w:r>
        <w:rPr>
          <w:b/>
          <w:bCs/>
        </w:rPr>
        <w:t>C</w:t>
      </w:r>
      <w:r w:rsidRPr="00D92122">
        <w:rPr>
          <w:b/>
          <w:bCs/>
        </w:rPr>
        <w:t xml:space="preserve">andidate </w:t>
      </w:r>
      <w:r>
        <w:rPr>
          <w:b/>
          <w:bCs/>
        </w:rPr>
        <w:t xml:space="preserve">serving </w:t>
      </w:r>
      <w:r w:rsidRPr="00D92122">
        <w:rPr>
          <w:b/>
          <w:bCs/>
        </w:rPr>
        <w:t xml:space="preserve">cells </w:t>
      </w:r>
      <w:r>
        <w:rPr>
          <w:b/>
          <w:bCs/>
        </w:rPr>
        <w:t>for L1/2 mobility are</w:t>
      </w:r>
      <w:r w:rsidRPr="00D92122">
        <w:rPr>
          <w:b/>
          <w:bCs/>
        </w:rPr>
        <w:t xml:space="preserve"> preconfigured by RRC, and the configuration contains all of the information needed to perform the RRC Reconfiguration (</w:t>
      </w:r>
      <w:proofErr w:type="gramStart"/>
      <w:r w:rsidRPr="00D92122">
        <w:rPr>
          <w:b/>
          <w:bCs/>
        </w:rPr>
        <w:t>e.g.</w:t>
      </w:r>
      <w:proofErr w:type="gramEnd"/>
      <w:r w:rsidRPr="00D92122">
        <w:rPr>
          <w:b/>
          <w:bCs/>
        </w:rPr>
        <w:t xml:space="preserve"> </w:t>
      </w:r>
      <w:proofErr w:type="spellStart"/>
      <w:r w:rsidRPr="00D92122">
        <w:rPr>
          <w:b/>
          <w:bCs/>
        </w:rPr>
        <w:t>SpCellConfig</w:t>
      </w:r>
      <w:proofErr w:type="spellEnd"/>
      <w:r w:rsidRPr="00D92122">
        <w:rPr>
          <w:b/>
          <w:bCs/>
        </w:rPr>
        <w:t xml:space="preserve">, </w:t>
      </w:r>
      <w:proofErr w:type="spellStart"/>
      <w:r w:rsidRPr="00D92122">
        <w:rPr>
          <w:b/>
          <w:bCs/>
        </w:rPr>
        <w:t>SCellConfig</w:t>
      </w:r>
      <w:proofErr w:type="spellEnd"/>
      <w:r w:rsidRPr="00D92122">
        <w:rPr>
          <w:b/>
          <w:bCs/>
        </w:rPr>
        <w:t>).</w:t>
      </w:r>
    </w:p>
    <w:p w14:paraId="072D9E61" w14:textId="77777777" w:rsidR="00C42645" w:rsidRDefault="00C42645" w:rsidP="00C42645">
      <w:pPr>
        <w:rPr>
          <w:b/>
          <w:bCs/>
        </w:rPr>
      </w:pPr>
    </w:p>
    <w:p w14:paraId="7C2191B4" w14:textId="77777777" w:rsidR="00C42645" w:rsidRPr="00D92122" w:rsidRDefault="00C42645" w:rsidP="00C42645">
      <w:pPr>
        <w:rPr>
          <w:b/>
          <w:bCs/>
        </w:rPr>
      </w:pPr>
      <w:r w:rsidRPr="00D92122">
        <w:rPr>
          <w:b/>
          <w:bCs/>
        </w:rPr>
        <w:t>Proposal 1</w:t>
      </w:r>
      <w:r>
        <w:rPr>
          <w:b/>
          <w:bCs/>
        </w:rPr>
        <w:t>b</w:t>
      </w:r>
      <w:r w:rsidRPr="00D92122">
        <w:rPr>
          <w:b/>
          <w:bCs/>
        </w:rPr>
        <w:t xml:space="preserve">: </w:t>
      </w:r>
      <w:r>
        <w:rPr>
          <w:b/>
          <w:bCs/>
        </w:rPr>
        <w:t>The configured c</w:t>
      </w:r>
      <w:r w:rsidRPr="00D92122">
        <w:rPr>
          <w:b/>
          <w:bCs/>
        </w:rPr>
        <w:t xml:space="preserve">andidate </w:t>
      </w:r>
      <w:r>
        <w:rPr>
          <w:b/>
          <w:bCs/>
        </w:rPr>
        <w:t xml:space="preserve">serving </w:t>
      </w:r>
      <w:r w:rsidRPr="00D92122">
        <w:rPr>
          <w:b/>
          <w:bCs/>
        </w:rPr>
        <w:t>cell</w:t>
      </w:r>
      <w:r>
        <w:rPr>
          <w:b/>
          <w:bCs/>
        </w:rPr>
        <w:t xml:space="preserve"> list</w:t>
      </w:r>
      <w:r w:rsidRPr="00D92122">
        <w:rPr>
          <w:b/>
          <w:bCs/>
        </w:rPr>
        <w:t xml:space="preserve"> </w:t>
      </w:r>
      <w:r>
        <w:rPr>
          <w:b/>
          <w:bCs/>
        </w:rPr>
        <w:t>may include serving and non-serving cells.</w:t>
      </w:r>
    </w:p>
    <w:p w14:paraId="65E1F758" w14:textId="77777777" w:rsidR="006E18F8" w:rsidRPr="00D92122" w:rsidRDefault="006E18F8" w:rsidP="006E18F8">
      <w:pPr>
        <w:rPr>
          <w:b/>
          <w:bCs/>
        </w:rPr>
      </w:pPr>
      <w:r w:rsidRPr="00D92122">
        <w:rPr>
          <w:b/>
          <w:bCs/>
        </w:rPr>
        <w:t xml:space="preserve"> </w:t>
      </w:r>
    </w:p>
    <w:p w14:paraId="6849383A" w14:textId="77777777" w:rsidR="00C42645" w:rsidRPr="006655A7" w:rsidRDefault="00C42645" w:rsidP="00C42645">
      <w:pPr>
        <w:rPr>
          <w:b/>
          <w:bCs/>
        </w:rPr>
      </w:pPr>
      <w:r w:rsidRPr="006655A7">
        <w:rPr>
          <w:b/>
          <w:bCs/>
        </w:rPr>
        <w:lastRenderedPageBreak/>
        <w:t xml:space="preserve">Proposal 2: FFS what additional candidate cell functionality needs to be pre-configured by RRC, </w:t>
      </w:r>
      <w:proofErr w:type="gramStart"/>
      <w:r w:rsidRPr="006655A7">
        <w:rPr>
          <w:b/>
          <w:bCs/>
        </w:rPr>
        <w:t>e.g.</w:t>
      </w:r>
      <w:proofErr w:type="gramEnd"/>
      <w:r w:rsidRPr="006655A7">
        <w:rPr>
          <w:b/>
          <w:bCs/>
        </w:rPr>
        <w:t xml:space="preserve"> measurement configurations, CHO, RLM/BFD, CSI reporting, TRS tracking, etc.</w:t>
      </w:r>
    </w:p>
    <w:p w14:paraId="2D4C3DF3" w14:textId="77777777" w:rsidR="006E18F8" w:rsidRPr="0073661C" w:rsidRDefault="006E18F8" w:rsidP="006E18F8"/>
    <w:p w14:paraId="3AD55ABA" w14:textId="77777777" w:rsidR="00C42645" w:rsidRPr="007B45F6" w:rsidRDefault="00C42645" w:rsidP="00C42645">
      <w:pPr>
        <w:rPr>
          <w:b/>
          <w:bCs/>
        </w:rPr>
      </w:pPr>
      <w:r w:rsidRPr="007B45F6">
        <w:rPr>
          <w:b/>
          <w:bCs/>
        </w:rPr>
        <w:t xml:space="preserve">Proposal </w:t>
      </w:r>
      <w:r>
        <w:rPr>
          <w:b/>
          <w:bCs/>
        </w:rPr>
        <w:t>3</w:t>
      </w:r>
      <w:r w:rsidRPr="007B45F6">
        <w:rPr>
          <w:b/>
          <w:bCs/>
        </w:rPr>
        <w:t>: Measurement evaluation, events</w:t>
      </w:r>
      <w:r>
        <w:rPr>
          <w:b/>
          <w:bCs/>
        </w:rPr>
        <w:t>,</w:t>
      </w:r>
      <w:r w:rsidRPr="007B45F6">
        <w:rPr>
          <w:b/>
          <w:bCs/>
        </w:rPr>
        <w:t xml:space="preserve"> and reporting as defined in RRC should be the baseline, and optimised signalling e.g.</w:t>
      </w:r>
      <w:r>
        <w:rPr>
          <w:b/>
          <w:bCs/>
        </w:rPr>
        <w:t>,</w:t>
      </w:r>
      <w:r w:rsidRPr="007B45F6">
        <w:rPr>
          <w:b/>
          <w:bCs/>
        </w:rPr>
        <w:t xml:space="preserve"> </w:t>
      </w:r>
      <w:r>
        <w:rPr>
          <w:b/>
          <w:bCs/>
        </w:rPr>
        <w:t>measurement reporting using</w:t>
      </w:r>
      <w:r w:rsidRPr="007B45F6">
        <w:rPr>
          <w:b/>
          <w:bCs/>
        </w:rPr>
        <w:t xml:space="preserve"> MAC CE</w:t>
      </w:r>
      <w:r>
        <w:rPr>
          <w:b/>
          <w:bCs/>
        </w:rPr>
        <w:t xml:space="preserve">, </w:t>
      </w:r>
      <w:r w:rsidRPr="007B45F6">
        <w:rPr>
          <w:b/>
          <w:bCs/>
        </w:rPr>
        <w:t xml:space="preserve">should </w:t>
      </w:r>
      <w:r>
        <w:rPr>
          <w:b/>
          <w:bCs/>
        </w:rPr>
        <w:t xml:space="preserve">be </w:t>
      </w:r>
      <w:r w:rsidRPr="007B45F6">
        <w:rPr>
          <w:b/>
          <w:bCs/>
        </w:rPr>
        <w:t>investigate</w:t>
      </w:r>
      <w:r>
        <w:rPr>
          <w:b/>
          <w:bCs/>
        </w:rPr>
        <w:t>d</w:t>
      </w:r>
      <w:r w:rsidRPr="007B45F6">
        <w:rPr>
          <w:b/>
          <w:bCs/>
        </w:rPr>
        <w:t>.</w:t>
      </w:r>
    </w:p>
    <w:p w14:paraId="2606530F" w14:textId="77777777" w:rsidR="00C42645" w:rsidRDefault="00C42645" w:rsidP="00C42645"/>
    <w:p w14:paraId="5BE08AC0" w14:textId="77777777" w:rsidR="00C42645" w:rsidRPr="008311C8" w:rsidRDefault="00C42645" w:rsidP="00C42645">
      <w:pPr>
        <w:rPr>
          <w:b/>
          <w:bCs/>
        </w:rPr>
      </w:pPr>
      <w:r w:rsidRPr="008311C8">
        <w:rPr>
          <w:b/>
          <w:bCs/>
        </w:rPr>
        <w:t xml:space="preserve">Proposal </w:t>
      </w:r>
      <w:r>
        <w:rPr>
          <w:b/>
          <w:bCs/>
        </w:rPr>
        <w:t>4</w:t>
      </w:r>
      <w:r w:rsidRPr="008311C8">
        <w:rPr>
          <w:b/>
          <w:bCs/>
        </w:rPr>
        <w:t xml:space="preserve">: </w:t>
      </w:r>
      <w:r>
        <w:rPr>
          <w:b/>
          <w:bCs/>
        </w:rPr>
        <w:t xml:space="preserve">New </w:t>
      </w:r>
      <w:r w:rsidRPr="008311C8">
        <w:rPr>
          <w:b/>
          <w:bCs/>
        </w:rPr>
        <w:t>measurement events</w:t>
      </w:r>
      <w:r>
        <w:rPr>
          <w:b/>
          <w:bCs/>
        </w:rPr>
        <w:t xml:space="preserve"> (e.g., that compare signal levels of serving cells)</w:t>
      </w:r>
      <w:r w:rsidRPr="008311C8">
        <w:rPr>
          <w:b/>
          <w:bCs/>
        </w:rPr>
        <w:t xml:space="preserve"> are needed to support L1/2 triggered handover, and candidate cell management.</w:t>
      </w:r>
    </w:p>
    <w:p w14:paraId="3304FF22" w14:textId="77777777" w:rsidR="006E18F8" w:rsidRDefault="006E18F8" w:rsidP="006E18F8">
      <w:pPr>
        <w:rPr>
          <w:b/>
          <w:bCs/>
        </w:rPr>
      </w:pPr>
    </w:p>
    <w:p w14:paraId="3163186A" w14:textId="77777777" w:rsidR="00C42645" w:rsidRDefault="00C42645" w:rsidP="00C42645">
      <w:pPr>
        <w:rPr>
          <w:b/>
          <w:bCs/>
        </w:rPr>
      </w:pPr>
      <w:r>
        <w:rPr>
          <w:b/>
          <w:bCs/>
        </w:rPr>
        <w:t>Proposal 5</w:t>
      </w:r>
      <w:r w:rsidRPr="003562DD">
        <w:rPr>
          <w:b/>
          <w:bCs/>
        </w:rPr>
        <w:t>:</w:t>
      </w:r>
      <w:r>
        <w:rPr>
          <w:b/>
          <w:bCs/>
        </w:rPr>
        <w:t xml:space="preserve"> UL and DL synchronization to a target cell can be performed before the cell becomes the new </w:t>
      </w:r>
      <w:proofErr w:type="spellStart"/>
      <w:r>
        <w:rPr>
          <w:b/>
          <w:bCs/>
        </w:rPr>
        <w:t>SpCell</w:t>
      </w:r>
      <w:proofErr w:type="spellEnd"/>
      <w:r>
        <w:rPr>
          <w:b/>
          <w:bCs/>
        </w:rPr>
        <w:t>.</w:t>
      </w:r>
    </w:p>
    <w:p w14:paraId="741002F8" w14:textId="77777777" w:rsidR="006E18F8" w:rsidRDefault="006E18F8" w:rsidP="006E18F8"/>
    <w:p w14:paraId="36A73E01" w14:textId="77777777" w:rsidR="00C42645" w:rsidRPr="002115B7" w:rsidRDefault="00C42645" w:rsidP="00C42645">
      <w:pPr>
        <w:rPr>
          <w:b/>
          <w:bCs/>
        </w:rPr>
      </w:pPr>
      <w:r w:rsidRPr="002115B7">
        <w:rPr>
          <w:b/>
          <w:bCs/>
        </w:rPr>
        <w:t xml:space="preserve">Proposal 6: </w:t>
      </w:r>
      <w:r>
        <w:rPr>
          <w:b/>
          <w:bCs/>
        </w:rPr>
        <w:t xml:space="preserve">UE can be configured to perform closer </w:t>
      </w:r>
      <w:r w:rsidRPr="002115B7">
        <w:rPr>
          <w:b/>
          <w:bCs/>
        </w:rPr>
        <w:t xml:space="preserve">monitoring of </w:t>
      </w:r>
      <w:r>
        <w:rPr>
          <w:b/>
          <w:bCs/>
        </w:rPr>
        <w:t>a</w:t>
      </w:r>
      <w:r w:rsidRPr="002115B7">
        <w:rPr>
          <w:b/>
          <w:bCs/>
        </w:rPr>
        <w:t xml:space="preserve"> target cell before it becomes </w:t>
      </w:r>
      <w:r>
        <w:rPr>
          <w:b/>
          <w:bCs/>
        </w:rPr>
        <w:t xml:space="preserve">an </w:t>
      </w:r>
      <w:proofErr w:type="spellStart"/>
      <w:r w:rsidRPr="002115B7">
        <w:rPr>
          <w:b/>
          <w:bCs/>
        </w:rPr>
        <w:t>SpCell</w:t>
      </w:r>
      <w:proofErr w:type="spellEnd"/>
      <w:r w:rsidRPr="002115B7">
        <w:rPr>
          <w:b/>
          <w:bCs/>
        </w:rPr>
        <w:t xml:space="preserve">. At least </w:t>
      </w:r>
      <w:r>
        <w:rPr>
          <w:b/>
          <w:bCs/>
        </w:rPr>
        <w:t xml:space="preserve">the following should be supported on a target cell: </w:t>
      </w:r>
      <w:r w:rsidRPr="002115B7">
        <w:rPr>
          <w:b/>
          <w:bCs/>
        </w:rPr>
        <w:t>RLM, BFD, CSI measurements, inter-cell beam management</w:t>
      </w:r>
      <w:r>
        <w:rPr>
          <w:b/>
          <w:bCs/>
        </w:rPr>
        <w:t>, and</w:t>
      </w:r>
      <w:r w:rsidRPr="002115B7">
        <w:rPr>
          <w:b/>
          <w:bCs/>
        </w:rPr>
        <w:t xml:space="preserve"> PDCCH monitoring</w:t>
      </w:r>
      <w:r>
        <w:rPr>
          <w:b/>
          <w:bCs/>
        </w:rPr>
        <w:t>.</w:t>
      </w:r>
    </w:p>
    <w:p w14:paraId="45E9B86B" w14:textId="77777777" w:rsidR="008F4846" w:rsidRPr="00740BCD" w:rsidRDefault="008F4846" w:rsidP="000F02CA">
      <w:pPr>
        <w:pStyle w:val="B4"/>
        <w:ind w:left="0" w:firstLine="0"/>
      </w:pPr>
    </w:p>
    <w:p w14:paraId="43E428F1" w14:textId="77777777" w:rsidR="00E06B61"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1" w:name="_Ref110867306"/>
    <w:p w14:paraId="3B018D6C" w14:textId="1247E4CA" w:rsidR="00D205BC" w:rsidRPr="00D16CA7" w:rsidRDefault="003F50DD" w:rsidP="00D205BC">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xml:space="preserve">,  </w:t>
      </w:r>
      <w:r w:rsidR="00A35B0F">
        <w:t>“</w:t>
      </w:r>
      <w:r w:rsidR="00A35B0F" w:rsidRPr="00A35B0F">
        <w:t>Revised WID on Further NR mobility enhancements</w:t>
      </w:r>
      <w:r w:rsidR="00A35B0F">
        <w:t>”</w:t>
      </w:r>
      <w:bookmarkEnd w:id="1"/>
    </w:p>
    <w:bookmarkStart w:id="2" w:name="_Ref110869833"/>
    <w:p w14:paraId="6B20CE81" w14:textId="090F266F" w:rsidR="00D16CA7" w:rsidRDefault="0063791B" w:rsidP="00D205BC">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sidR="004B1631">
        <w:rPr>
          <w:rFonts w:eastAsia="Arial Unicode MS"/>
        </w:rPr>
        <w:instrText>HYPERLINK "https://www.3gpp.org/ftp/specs/archive/38_series/38.133/38133-h60.zip"</w:instrText>
      </w:r>
      <w:r>
        <w:rPr>
          <w:rFonts w:eastAsia="Arial Unicode MS"/>
        </w:rPr>
        <w:fldChar w:fldCharType="separate"/>
      </w:r>
      <w:r w:rsidR="00D16CA7" w:rsidRPr="0063791B">
        <w:rPr>
          <w:rStyle w:val="Hyperlink"/>
          <w:rFonts w:eastAsia="Arial Unicode MS"/>
        </w:rPr>
        <w:t>38.133</w:t>
      </w:r>
      <w:bookmarkEnd w:id="2"/>
      <w:r>
        <w:rPr>
          <w:rFonts w:eastAsia="Arial Unicode MS"/>
        </w:rPr>
        <w:fldChar w:fldCharType="end"/>
      </w:r>
      <w:r>
        <w:rPr>
          <w:rFonts w:eastAsia="Arial Unicode MS"/>
        </w:rPr>
        <w:t>, “</w:t>
      </w:r>
      <w:r w:rsidR="002A552E" w:rsidRPr="002A552E">
        <w:rPr>
          <w:rFonts w:eastAsia="Arial Unicode MS"/>
        </w:rPr>
        <w:t>NR; Requirements for support of radio resource management</w:t>
      </w:r>
      <w:r>
        <w:rPr>
          <w:rFonts w:eastAsia="Arial Unicode MS"/>
        </w:rPr>
        <w:t>”</w:t>
      </w:r>
    </w:p>
    <w:p w14:paraId="3F35E67D" w14:textId="77777777" w:rsidR="00E06B61" w:rsidRPr="001105A3" w:rsidRDefault="00E06B61" w:rsidP="00E06B61">
      <w:pPr>
        <w:pStyle w:val="Reference"/>
        <w:numPr>
          <w:ilvl w:val="0"/>
          <w:numId w:val="0"/>
        </w:numPr>
        <w:overflowPunct w:val="0"/>
        <w:autoSpaceDE w:val="0"/>
        <w:autoSpaceDN w:val="0"/>
        <w:adjustRightInd w:val="0"/>
        <w:ind w:left="567" w:hanging="567"/>
        <w:jc w:val="both"/>
        <w:textAlignment w:val="baseline"/>
      </w:pPr>
    </w:p>
    <w:p w14:paraId="6F633548" w14:textId="77777777" w:rsidR="00886B68" w:rsidRPr="00E06B61" w:rsidRDefault="00886B68" w:rsidP="00E06B61"/>
    <w:sectPr w:rsidR="00886B68" w:rsidRPr="00E06B61"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17"/>
  </w:num>
  <w:num w:numId="2" w16cid:durableId="1822573651">
    <w:abstractNumId w:val="7"/>
  </w:num>
  <w:num w:numId="3" w16cid:durableId="1293515717">
    <w:abstractNumId w:val="5"/>
  </w:num>
  <w:num w:numId="4" w16cid:durableId="1859391698">
    <w:abstractNumId w:val="12"/>
  </w:num>
  <w:num w:numId="5" w16cid:durableId="642084593">
    <w:abstractNumId w:val="0"/>
  </w:num>
  <w:num w:numId="6" w16cid:durableId="224075879">
    <w:abstractNumId w:val="0"/>
  </w:num>
  <w:num w:numId="7" w16cid:durableId="1432315274">
    <w:abstractNumId w:val="13"/>
  </w:num>
  <w:num w:numId="8" w16cid:durableId="550461415">
    <w:abstractNumId w:val="9"/>
  </w:num>
  <w:num w:numId="9" w16cid:durableId="2113240567">
    <w:abstractNumId w:val="12"/>
  </w:num>
  <w:num w:numId="10" w16cid:durableId="319046138">
    <w:abstractNumId w:val="16"/>
  </w:num>
  <w:num w:numId="11" w16cid:durableId="989089676">
    <w:abstractNumId w:val="10"/>
  </w:num>
  <w:num w:numId="12" w16cid:durableId="3017690">
    <w:abstractNumId w:val="3"/>
  </w:num>
  <w:num w:numId="13" w16cid:durableId="1136416161">
    <w:abstractNumId w:val="6"/>
  </w:num>
  <w:num w:numId="14" w16cid:durableId="1598631832">
    <w:abstractNumId w:val="4"/>
  </w:num>
  <w:num w:numId="15" w16cid:durableId="1873760530">
    <w:abstractNumId w:val="8"/>
  </w:num>
  <w:num w:numId="16" w16cid:durableId="1043483843">
    <w:abstractNumId w:val="2"/>
  </w:num>
  <w:num w:numId="17" w16cid:durableId="2081756601">
    <w:abstractNumId w:val="11"/>
  </w:num>
  <w:num w:numId="18" w16cid:durableId="405349453">
    <w:abstractNumId w:val="1"/>
  </w:num>
  <w:num w:numId="19" w16cid:durableId="1503083248">
    <w:abstractNumId w:val="15"/>
  </w:num>
  <w:num w:numId="20" w16cid:durableId="18996583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E19"/>
    <w:rsid w:val="00066ACC"/>
    <w:rsid w:val="000746E2"/>
    <w:rsid w:val="000768DF"/>
    <w:rsid w:val="000770C6"/>
    <w:rsid w:val="000778B1"/>
    <w:rsid w:val="0008007A"/>
    <w:rsid w:val="00084E00"/>
    <w:rsid w:val="00091528"/>
    <w:rsid w:val="00094DBF"/>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7F7F"/>
    <w:rsid w:val="00114B5E"/>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388B"/>
    <w:rsid w:val="0019667B"/>
    <w:rsid w:val="00196E33"/>
    <w:rsid w:val="00197B9A"/>
    <w:rsid w:val="001A074E"/>
    <w:rsid w:val="001A12FE"/>
    <w:rsid w:val="001A1EE3"/>
    <w:rsid w:val="001A3197"/>
    <w:rsid w:val="001A4B92"/>
    <w:rsid w:val="001B56B4"/>
    <w:rsid w:val="001B7267"/>
    <w:rsid w:val="001C09B3"/>
    <w:rsid w:val="001C0B81"/>
    <w:rsid w:val="001C1B2E"/>
    <w:rsid w:val="001C6122"/>
    <w:rsid w:val="001C6C22"/>
    <w:rsid w:val="001C7317"/>
    <w:rsid w:val="001C78C6"/>
    <w:rsid w:val="001C7C26"/>
    <w:rsid w:val="001D55C2"/>
    <w:rsid w:val="001D7716"/>
    <w:rsid w:val="001D7D4B"/>
    <w:rsid w:val="001E1CAD"/>
    <w:rsid w:val="001F34C0"/>
    <w:rsid w:val="001F5EAA"/>
    <w:rsid w:val="0020218F"/>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E4A"/>
    <w:rsid w:val="002479FA"/>
    <w:rsid w:val="00252264"/>
    <w:rsid w:val="00252505"/>
    <w:rsid w:val="00252A93"/>
    <w:rsid w:val="00252FED"/>
    <w:rsid w:val="0025604F"/>
    <w:rsid w:val="00257082"/>
    <w:rsid w:val="002614E5"/>
    <w:rsid w:val="0026269B"/>
    <w:rsid w:val="00263ED9"/>
    <w:rsid w:val="002646FB"/>
    <w:rsid w:val="002715AB"/>
    <w:rsid w:val="00272A50"/>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EB6"/>
    <w:rsid w:val="0029699C"/>
    <w:rsid w:val="002A1775"/>
    <w:rsid w:val="002A1CF9"/>
    <w:rsid w:val="002A21E5"/>
    <w:rsid w:val="002A552E"/>
    <w:rsid w:val="002A602E"/>
    <w:rsid w:val="002B1870"/>
    <w:rsid w:val="002B4ABB"/>
    <w:rsid w:val="002B5016"/>
    <w:rsid w:val="002B627A"/>
    <w:rsid w:val="002B644C"/>
    <w:rsid w:val="002B717C"/>
    <w:rsid w:val="002C1BC0"/>
    <w:rsid w:val="002C3012"/>
    <w:rsid w:val="002C3BED"/>
    <w:rsid w:val="002C465A"/>
    <w:rsid w:val="002C4DCF"/>
    <w:rsid w:val="002D0E31"/>
    <w:rsid w:val="002D53D0"/>
    <w:rsid w:val="002D55EE"/>
    <w:rsid w:val="002D5B0B"/>
    <w:rsid w:val="002D7553"/>
    <w:rsid w:val="002D7D5D"/>
    <w:rsid w:val="002E1978"/>
    <w:rsid w:val="002F4672"/>
    <w:rsid w:val="002F4D26"/>
    <w:rsid w:val="002F7FE1"/>
    <w:rsid w:val="0030072A"/>
    <w:rsid w:val="00301CD4"/>
    <w:rsid w:val="003030AF"/>
    <w:rsid w:val="003045E4"/>
    <w:rsid w:val="003046A5"/>
    <w:rsid w:val="00305C14"/>
    <w:rsid w:val="00311919"/>
    <w:rsid w:val="00312181"/>
    <w:rsid w:val="00314BBE"/>
    <w:rsid w:val="0031580A"/>
    <w:rsid w:val="00317306"/>
    <w:rsid w:val="003264A8"/>
    <w:rsid w:val="00326C74"/>
    <w:rsid w:val="00326E47"/>
    <w:rsid w:val="00326E5E"/>
    <w:rsid w:val="00330825"/>
    <w:rsid w:val="003348AD"/>
    <w:rsid w:val="003349E9"/>
    <w:rsid w:val="00340B62"/>
    <w:rsid w:val="00340CC3"/>
    <w:rsid w:val="00340F1E"/>
    <w:rsid w:val="003434BE"/>
    <w:rsid w:val="00343BA2"/>
    <w:rsid w:val="00352217"/>
    <w:rsid w:val="00352232"/>
    <w:rsid w:val="003534E4"/>
    <w:rsid w:val="003562DD"/>
    <w:rsid w:val="00360542"/>
    <w:rsid w:val="003616EE"/>
    <w:rsid w:val="003660A4"/>
    <w:rsid w:val="00366302"/>
    <w:rsid w:val="003670EC"/>
    <w:rsid w:val="00373E7B"/>
    <w:rsid w:val="00377064"/>
    <w:rsid w:val="0037776C"/>
    <w:rsid w:val="00377A6E"/>
    <w:rsid w:val="003842A0"/>
    <w:rsid w:val="0038603C"/>
    <w:rsid w:val="00386178"/>
    <w:rsid w:val="00387CC3"/>
    <w:rsid w:val="00387E49"/>
    <w:rsid w:val="00392CCB"/>
    <w:rsid w:val="00392F7C"/>
    <w:rsid w:val="003937BA"/>
    <w:rsid w:val="0039544C"/>
    <w:rsid w:val="0039572F"/>
    <w:rsid w:val="0039763A"/>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F3F26"/>
    <w:rsid w:val="003F50DD"/>
    <w:rsid w:val="003F649E"/>
    <w:rsid w:val="004133CB"/>
    <w:rsid w:val="00414A12"/>
    <w:rsid w:val="00414DCA"/>
    <w:rsid w:val="00416E03"/>
    <w:rsid w:val="00423EAC"/>
    <w:rsid w:val="00424B1B"/>
    <w:rsid w:val="00424EB8"/>
    <w:rsid w:val="004257E9"/>
    <w:rsid w:val="004257F8"/>
    <w:rsid w:val="004258D5"/>
    <w:rsid w:val="0043083C"/>
    <w:rsid w:val="004316C0"/>
    <w:rsid w:val="004325FC"/>
    <w:rsid w:val="004406A6"/>
    <w:rsid w:val="004413AE"/>
    <w:rsid w:val="004425B2"/>
    <w:rsid w:val="00442C71"/>
    <w:rsid w:val="0044437C"/>
    <w:rsid w:val="0044580A"/>
    <w:rsid w:val="004469A8"/>
    <w:rsid w:val="004546F2"/>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C9D"/>
    <w:rsid w:val="004947BB"/>
    <w:rsid w:val="004A25F0"/>
    <w:rsid w:val="004A62C4"/>
    <w:rsid w:val="004A69D0"/>
    <w:rsid w:val="004B1631"/>
    <w:rsid w:val="004B4091"/>
    <w:rsid w:val="004B446F"/>
    <w:rsid w:val="004B68A7"/>
    <w:rsid w:val="004C4C66"/>
    <w:rsid w:val="004C54F7"/>
    <w:rsid w:val="004D062D"/>
    <w:rsid w:val="004D20F7"/>
    <w:rsid w:val="004D2E3F"/>
    <w:rsid w:val="004D7879"/>
    <w:rsid w:val="004E4568"/>
    <w:rsid w:val="004E668C"/>
    <w:rsid w:val="004F0A44"/>
    <w:rsid w:val="004F2AB4"/>
    <w:rsid w:val="004F3C96"/>
    <w:rsid w:val="004F4154"/>
    <w:rsid w:val="004F7576"/>
    <w:rsid w:val="005004EB"/>
    <w:rsid w:val="005025FA"/>
    <w:rsid w:val="00506A7D"/>
    <w:rsid w:val="00523A75"/>
    <w:rsid w:val="005259BC"/>
    <w:rsid w:val="00532805"/>
    <w:rsid w:val="00532948"/>
    <w:rsid w:val="00534F80"/>
    <w:rsid w:val="005362B4"/>
    <w:rsid w:val="0053751B"/>
    <w:rsid w:val="0054395A"/>
    <w:rsid w:val="00543A51"/>
    <w:rsid w:val="00544A1F"/>
    <w:rsid w:val="00544D11"/>
    <w:rsid w:val="00546FCE"/>
    <w:rsid w:val="00547611"/>
    <w:rsid w:val="00554B52"/>
    <w:rsid w:val="00555474"/>
    <w:rsid w:val="005606AE"/>
    <w:rsid w:val="00562223"/>
    <w:rsid w:val="00562635"/>
    <w:rsid w:val="00565CB6"/>
    <w:rsid w:val="00570A68"/>
    <w:rsid w:val="00572BDA"/>
    <w:rsid w:val="005736CD"/>
    <w:rsid w:val="00574590"/>
    <w:rsid w:val="005801CD"/>
    <w:rsid w:val="00580327"/>
    <w:rsid w:val="005807CB"/>
    <w:rsid w:val="00586C80"/>
    <w:rsid w:val="00592319"/>
    <w:rsid w:val="0059517D"/>
    <w:rsid w:val="00596F34"/>
    <w:rsid w:val="00597B51"/>
    <w:rsid w:val="005A1322"/>
    <w:rsid w:val="005A2EEB"/>
    <w:rsid w:val="005A390D"/>
    <w:rsid w:val="005A63F0"/>
    <w:rsid w:val="005A7E53"/>
    <w:rsid w:val="005B0F7F"/>
    <w:rsid w:val="005B2B9D"/>
    <w:rsid w:val="005B2CC8"/>
    <w:rsid w:val="005B3AB4"/>
    <w:rsid w:val="005C0406"/>
    <w:rsid w:val="005C095A"/>
    <w:rsid w:val="005C26A3"/>
    <w:rsid w:val="005C2774"/>
    <w:rsid w:val="005C31C1"/>
    <w:rsid w:val="005D4ECB"/>
    <w:rsid w:val="005D5E68"/>
    <w:rsid w:val="005D7660"/>
    <w:rsid w:val="005D7A98"/>
    <w:rsid w:val="005E10B7"/>
    <w:rsid w:val="005E37E0"/>
    <w:rsid w:val="005E4AED"/>
    <w:rsid w:val="005E53A3"/>
    <w:rsid w:val="005E5482"/>
    <w:rsid w:val="005E7480"/>
    <w:rsid w:val="005E7BF1"/>
    <w:rsid w:val="005F0D19"/>
    <w:rsid w:val="005F0E39"/>
    <w:rsid w:val="005F1BAA"/>
    <w:rsid w:val="005F583F"/>
    <w:rsid w:val="0060248C"/>
    <w:rsid w:val="0060341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483E"/>
    <w:rsid w:val="00656896"/>
    <w:rsid w:val="00656E33"/>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D40"/>
    <w:rsid w:val="00692486"/>
    <w:rsid w:val="00695125"/>
    <w:rsid w:val="00697C83"/>
    <w:rsid w:val="006A0981"/>
    <w:rsid w:val="006A259B"/>
    <w:rsid w:val="006A34AB"/>
    <w:rsid w:val="006A4E54"/>
    <w:rsid w:val="006A6BF0"/>
    <w:rsid w:val="006B0746"/>
    <w:rsid w:val="006B428E"/>
    <w:rsid w:val="006B44DF"/>
    <w:rsid w:val="006B5DEA"/>
    <w:rsid w:val="006B754B"/>
    <w:rsid w:val="006C1BFB"/>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700343"/>
    <w:rsid w:val="00700785"/>
    <w:rsid w:val="00704C05"/>
    <w:rsid w:val="00706782"/>
    <w:rsid w:val="007067A9"/>
    <w:rsid w:val="007127A3"/>
    <w:rsid w:val="00712D6C"/>
    <w:rsid w:val="0071418F"/>
    <w:rsid w:val="00714A0C"/>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402D"/>
    <w:rsid w:val="00755B8F"/>
    <w:rsid w:val="007576E4"/>
    <w:rsid w:val="00760697"/>
    <w:rsid w:val="00760AD7"/>
    <w:rsid w:val="0076212D"/>
    <w:rsid w:val="00764013"/>
    <w:rsid w:val="00764C4B"/>
    <w:rsid w:val="007654C9"/>
    <w:rsid w:val="0076610E"/>
    <w:rsid w:val="00771F81"/>
    <w:rsid w:val="007749A1"/>
    <w:rsid w:val="007767B5"/>
    <w:rsid w:val="007860F8"/>
    <w:rsid w:val="00786685"/>
    <w:rsid w:val="00786CFC"/>
    <w:rsid w:val="00792FC8"/>
    <w:rsid w:val="00795231"/>
    <w:rsid w:val="00795B75"/>
    <w:rsid w:val="00795C42"/>
    <w:rsid w:val="007976B7"/>
    <w:rsid w:val="0079794B"/>
    <w:rsid w:val="00797C88"/>
    <w:rsid w:val="007A0AC2"/>
    <w:rsid w:val="007A2FDF"/>
    <w:rsid w:val="007A3F3A"/>
    <w:rsid w:val="007A42FA"/>
    <w:rsid w:val="007B009A"/>
    <w:rsid w:val="007B10E7"/>
    <w:rsid w:val="007B45F6"/>
    <w:rsid w:val="007B595E"/>
    <w:rsid w:val="007B5D0C"/>
    <w:rsid w:val="007B78C7"/>
    <w:rsid w:val="007C29C5"/>
    <w:rsid w:val="007C31A5"/>
    <w:rsid w:val="007C3CC5"/>
    <w:rsid w:val="007C5187"/>
    <w:rsid w:val="007C571F"/>
    <w:rsid w:val="007C633D"/>
    <w:rsid w:val="007C6936"/>
    <w:rsid w:val="007D070F"/>
    <w:rsid w:val="007D1123"/>
    <w:rsid w:val="007D6527"/>
    <w:rsid w:val="007D6E25"/>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11C8"/>
    <w:rsid w:val="008324C5"/>
    <w:rsid w:val="00833C00"/>
    <w:rsid w:val="00842E29"/>
    <w:rsid w:val="008441C9"/>
    <w:rsid w:val="00846AF2"/>
    <w:rsid w:val="00847802"/>
    <w:rsid w:val="00850395"/>
    <w:rsid w:val="0085196D"/>
    <w:rsid w:val="00852395"/>
    <w:rsid w:val="00856B00"/>
    <w:rsid w:val="008572EE"/>
    <w:rsid w:val="008576DF"/>
    <w:rsid w:val="008718C0"/>
    <w:rsid w:val="008725D7"/>
    <w:rsid w:val="00873B57"/>
    <w:rsid w:val="008755F3"/>
    <w:rsid w:val="00886B68"/>
    <w:rsid w:val="00887BBC"/>
    <w:rsid w:val="00892383"/>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D1D74"/>
    <w:rsid w:val="008D314D"/>
    <w:rsid w:val="008D5C5B"/>
    <w:rsid w:val="008D5D65"/>
    <w:rsid w:val="008D60AF"/>
    <w:rsid w:val="008D6A68"/>
    <w:rsid w:val="008E0636"/>
    <w:rsid w:val="008E3A00"/>
    <w:rsid w:val="008E3F2F"/>
    <w:rsid w:val="008E5E29"/>
    <w:rsid w:val="008E6771"/>
    <w:rsid w:val="008F1B40"/>
    <w:rsid w:val="008F1CA5"/>
    <w:rsid w:val="008F475E"/>
    <w:rsid w:val="008F4846"/>
    <w:rsid w:val="008F5C49"/>
    <w:rsid w:val="008F650D"/>
    <w:rsid w:val="00900E9D"/>
    <w:rsid w:val="0090236D"/>
    <w:rsid w:val="00904B75"/>
    <w:rsid w:val="00906266"/>
    <w:rsid w:val="009072C2"/>
    <w:rsid w:val="0090760F"/>
    <w:rsid w:val="0090768E"/>
    <w:rsid w:val="00912D1C"/>
    <w:rsid w:val="00913B0C"/>
    <w:rsid w:val="009154EE"/>
    <w:rsid w:val="009203F3"/>
    <w:rsid w:val="00920751"/>
    <w:rsid w:val="00920B33"/>
    <w:rsid w:val="009233E7"/>
    <w:rsid w:val="009243C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45DC"/>
    <w:rsid w:val="009B4DFB"/>
    <w:rsid w:val="009B528A"/>
    <w:rsid w:val="009C195C"/>
    <w:rsid w:val="009C2989"/>
    <w:rsid w:val="009C3228"/>
    <w:rsid w:val="009C73DD"/>
    <w:rsid w:val="009D445D"/>
    <w:rsid w:val="009D6E71"/>
    <w:rsid w:val="009E2FCC"/>
    <w:rsid w:val="009F1CEC"/>
    <w:rsid w:val="009F33EE"/>
    <w:rsid w:val="009F6166"/>
    <w:rsid w:val="00A003A5"/>
    <w:rsid w:val="00A0526D"/>
    <w:rsid w:val="00A10358"/>
    <w:rsid w:val="00A16A31"/>
    <w:rsid w:val="00A20494"/>
    <w:rsid w:val="00A25167"/>
    <w:rsid w:val="00A3024B"/>
    <w:rsid w:val="00A32D79"/>
    <w:rsid w:val="00A33969"/>
    <w:rsid w:val="00A357D6"/>
    <w:rsid w:val="00A35B0F"/>
    <w:rsid w:val="00A40D4D"/>
    <w:rsid w:val="00A40F40"/>
    <w:rsid w:val="00A41051"/>
    <w:rsid w:val="00A45900"/>
    <w:rsid w:val="00A46703"/>
    <w:rsid w:val="00A473DB"/>
    <w:rsid w:val="00A543D3"/>
    <w:rsid w:val="00A56BD9"/>
    <w:rsid w:val="00A57C34"/>
    <w:rsid w:val="00A6000C"/>
    <w:rsid w:val="00A63B2B"/>
    <w:rsid w:val="00A63DA0"/>
    <w:rsid w:val="00A65A60"/>
    <w:rsid w:val="00A65D0D"/>
    <w:rsid w:val="00A673FF"/>
    <w:rsid w:val="00A7193A"/>
    <w:rsid w:val="00A72DEC"/>
    <w:rsid w:val="00A740CD"/>
    <w:rsid w:val="00A83BEE"/>
    <w:rsid w:val="00A84334"/>
    <w:rsid w:val="00A84AD3"/>
    <w:rsid w:val="00A85582"/>
    <w:rsid w:val="00A85DD8"/>
    <w:rsid w:val="00A86E69"/>
    <w:rsid w:val="00A8767E"/>
    <w:rsid w:val="00A91703"/>
    <w:rsid w:val="00A94C78"/>
    <w:rsid w:val="00A950D4"/>
    <w:rsid w:val="00A9648D"/>
    <w:rsid w:val="00AA0774"/>
    <w:rsid w:val="00AA595D"/>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E59"/>
    <w:rsid w:val="00AD4FB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10C6C"/>
    <w:rsid w:val="00B1123C"/>
    <w:rsid w:val="00B12753"/>
    <w:rsid w:val="00B12A0A"/>
    <w:rsid w:val="00B16728"/>
    <w:rsid w:val="00B2050B"/>
    <w:rsid w:val="00B2204F"/>
    <w:rsid w:val="00B2257C"/>
    <w:rsid w:val="00B22950"/>
    <w:rsid w:val="00B24FF2"/>
    <w:rsid w:val="00B33DDC"/>
    <w:rsid w:val="00B34366"/>
    <w:rsid w:val="00B35DAA"/>
    <w:rsid w:val="00B35ED4"/>
    <w:rsid w:val="00B369D5"/>
    <w:rsid w:val="00B40097"/>
    <w:rsid w:val="00B40787"/>
    <w:rsid w:val="00B4134E"/>
    <w:rsid w:val="00B42A88"/>
    <w:rsid w:val="00B42E5D"/>
    <w:rsid w:val="00B43A96"/>
    <w:rsid w:val="00B45CD6"/>
    <w:rsid w:val="00B45DEF"/>
    <w:rsid w:val="00B512D0"/>
    <w:rsid w:val="00B54D56"/>
    <w:rsid w:val="00B57FE1"/>
    <w:rsid w:val="00B6677A"/>
    <w:rsid w:val="00B70396"/>
    <w:rsid w:val="00B7497F"/>
    <w:rsid w:val="00B75A91"/>
    <w:rsid w:val="00B8158F"/>
    <w:rsid w:val="00B83111"/>
    <w:rsid w:val="00B856FC"/>
    <w:rsid w:val="00B87221"/>
    <w:rsid w:val="00B87BC2"/>
    <w:rsid w:val="00B953C5"/>
    <w:rsid w:val="00B95538"/>
    <w:rsid w:val="00B95A4D"/>
    <w:rsid w:val="00B97022"/>
    <w:rsid w:val="00B973F9"/>
    <w:rsid w:val="00BA04DA"/>
    <w:rsid w:val="00BA0F96"/>
    <w:rsid w:val="00BA1B1A"/>
    <w:rsid w:val="00BA38FD"/>
    <w:rsid w:val="00BB24AA"/>
    <w:rsid w:val="00BB3BA7"/>
    <w:rsid w:val="00BB5CE6"/>
    <w:rsid w:val="00BB687B"/>
    <w:rsid w:val="00BC1926"/>
    <w:rsid w:val="00BC1F47"/>
    <w:rsid w:val="00BC3CD6"/>
    <w:rsid w:val="00BD44AD"/>
    <w:rsid w:val="00BD605B"/>
    <w:rsid w:val="00BE1D59"/>
    <w:rsid w:val="00BE48AD"/>
    <w:rsid w:val="00BE5222"/>
    <w:rsid w:val="00BE630C"/>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336AF"/>
    <w:rsid w:val="00C33B80"/>
    <w:rsid w:val="00C34287"/>
    <w:rsid w:val="00C35924"/>
    <w:rsid w:val="00C42645"/>
    <w:rsid w:val="00C43E97"/>
    <w:rsid w:val="00C441D0"/>
    <w:rsid w:val="00C4579C"/>
    <w:rsid w:val="00C463EC"/>
    <w:rsid w:val="00C46A85"/>
    <w:rsid w:val="00C476B1"/>
    <w:rsid w:val="00C55094"/>
    <w:rsid w:val="00C551CE"/>
    <w:rsid w:val="00C553E0"/>
    <w:rsid w:val="00C556B5"/>
    <w:rsid w:val="00C567CD"/>
    <w:rsid w:val="00C63EA6"/>
    <w:rsid w:val="00C6417A"/>
    <w:rsid w:val="00C70CE6"/>
    <w:rsid w:val="00C721C3"/>
    <w:rsid w:val="00C74089"/>
    <w:rsid w:val="00C741C7"/>
    <w:rsid w:val="00C763DC"/>
    <w:rsid w:val="00C77D03"/>
    <w:rsid w:val="00C80290"/>
    <w:rsid w:val="00C82AEC"/>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EF0"/>
    <w:rsid w:val="00CC23F5"/>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CF2"/>
    <w:rsid w:val="00CF358C"/>
    <w:rsid w:val="00D01D5D"/>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56EA"/>
    <w:rsid w:val="00D52195"/>
    <w:rsid w:val="00D61D2E"/>
    <w:rsid w:val="00D6353B"/>
    <w:rsid w:val="00D63FE6"/>
    <w:rsid w:val="00D6703E"/>
    <w:rsid w:val="00D70AF0"/>
    <w:rsid w:val="00D71B15"/>
    <w:rsid w:val="00D741C7"/>
    <w:rsid w:val="00D75678"/>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71C5"/>
    <w:rsid w:val="00DA3F61"/>
    <w:rsid w:val="00DB25D6"/>
    <w:rsid w:val="00DB3859"/>
    <w:rsid w:val="00DB5E03"/>
    <w:rsid w:val="00DB6079"/>
    <w:rsid w:val="00DB6370"/>
    <w:rsid w:val="00DB66D9"/>
    <w:rsid w:val="00DB73D0"/>
    <w:rsid w:val="00DB7874"/>
    <w:rsid w:val="00DC0AF9"/>
    <w:rsid w:val="00DC1200"/>
    <w:rsid w:val="00DC6CE0"/>
    <w:rsid w:val="00DD0210"/>
    <w:rsid w:val="00DD14FF"/>
    <w:rsid w:val="00DD45D2"/>
    <w:rsid w:val="00DD7CEB"/>
    <w:rsid w:val="00DE7728"/>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56D8"/>
    <w:rsid w:val="00E51896"/>
    <w:rsid w:val="00E55AE9"/>
    <w:rsid w:val="00E56641"/>
    <w:rsid w:val="00E56BFD"/>
    <w:rsid w:val="00E57B33"/>
    <w:rsid w:val="00E608CF"/>
    <w:rsid w:val="00E623FC"/>
    <w:rsid w:val="00E63278"/>
    <w:rsid w:val="00E66F64"/>
    <w:rsid w:val="00E67459"/>
    <w:rsid w:val="00E711EA"/>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B1"/>
    <w:rsid w:val="00EB2CC4"/>
    <w:rsid w:val="00EB3EF4"/>
    <w:rsid w:val="00EB4330"/>
    <w:rsid w:val="00EB4649"/>
    <w:rsid w:val="00EB62E5"/>
    <w:rsid w:val="00EC25EB"/>
    <w:rsid w:val="00EC3404"/>
    <w:rsid w:val="00EC735A"/>
    <w:rsid w:val="00ED079C"/>
    <w:rsid w:val="00ED117C"/>
    <w:rsid w:val="00ED2AB1"/>
    <w:rsid w:val="00ED2ACA"/>
    <w:rsid w:val="00ED38E1"/>
    <w:rsid w:val="00ED428A"/>
    <w:rsid w:val="00ED7BF8"/>
    <w:rsid w:val="00EE12FD"/>
    <w:rsid w:val="00EE2931"/>
    <w:rsid w:val="00EE321B"/>
    <w:rsid w:val="00EE4034"/>
    <w:rsid w:val="00EE4ACD"/>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31DA"/>
    <w:rsid w:val="00F248E0"/>
    <w:rsid w:val="00F24AAC"/>
    <w:rsid w:val="00F266FC"/>
    <w:rsid w:val="00F30326"/>
    <w:rsid w:val="00F30A37"/>
    <w:rsid w:val="00F32C41"/>
    <w:rsid w:val="00F331EF"/>
    <w:rsid w:val="00F33C7C"/>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54AA"/>
    <w:rsid w:val="00F86053"/>
    <w:rsid w:val="00F861FA"/>
    <w:rsid w:val="00F90741"/>
    <w:rsid w:val="00F930EB"/>
    <w:rsid w:val="00F96A5A"/>
    <w:rsid w:val="00F97857"/>
    <w:rsid w:val="00F97B98"/>
    <w:rsid w:val="00FA2A45"/>
    <w:rsid w:val="00FA3ABE"/>
    <w:rsid w:val="00FA5AAB"/>
    <w:rsid w:val="00FA75DC"/>
    <w:rsid w:val="00FB0B2B"/>
    <w:rsid w:val="00FB33FA"/>
    <w:rsid w:val="00FB70E6"/>
    <w:rsid w:val="00FC0304"/>
    <w:rsid w:val="00FC235E"/>
    <w:rsid w:val="00FC35B4"/>
    <w:rsid w:val="00FD5C76"/>
    <w:rsid w:val="00FE0359"/>
    <w:rsid w:val="00FE584D"/>
    <w:rsid w:val="00FF06C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1ABBEE-2D01-43AB-9F5B-E80CA82ED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2996B9-4FF7-4FA5-9F51-2F1CC9C5AD0B}">
  <ds:schemaRefs>
    <ds:schemaRef ds:uri="e32f50e1-6846-4d7d-ad60-ccd6877e6c5e"/>
    <ds:schemaRef ds:uri="http://purl.org/dc/elements/1.1/"/>
    <ds:schemaRef ds:uri="http://schemas.microsoft.com/sharepoint/v4"/>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5a888943-97ca-4c93-b605-714bb5e9e285"/>
    <ds:schemaRef ds:uri="http://purl.org/dc/dcmitype/"/>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06EBBCB1-B838-4A66-84D8-8345DE84C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1557</TotalTime>
  <Pages>7</Pages>
  <Words>2095</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284</cp:revision>
  <dcterms:created xsi:type="dcterms:W3CDTF">2022-02-10T15:51:00Z</dcterms:created>
  <dcterms:modified xsi:type="dcterms:W3CDTF">2022-08-10T08:09:00Z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